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4" w:type="pct"/>
        <w:tblLayout w:type="fixed"/>
        <w:tblCellMar>
          <w:left w:w="0" w:type="dxa"/>
          <w:right w:w="0" w:type="dxa"/>
        </w:tblCellMar>
        <w:tblLook w:val="04A0" w:firstRow="1" w:lastRow="0" w:firstColumn="1" w:lastColumn="0" w:noHBand="0" w:noVBand="1"/>
      </w:tblPr>
      <w:tblGrid>
        <w:gridCol w:w="6804"/>
        <w:gridCol w:w="2485"/>
      </w:tblGrid>
      <w:tr w:rsidR="00F612B1">
        <w:trPr>
          <w:cantSplit/>
          <w:trHeight w:val="1304"/>
        </w:trPr>
        <w:tc>
          <w:tcPr>
            <w:tcW w:w="6804" w:type="dxa"/>
          </w:tcPr>
          <w:p w:rsidR="00F612B1" w:rsidRDefault="00D62F16">
            <w:pPr>
              <w:rPr>
                <w:rFonts w:eastAsia="Arial" w:cs="Arial"/>
                <w:sz w:val="14"/>
                <w:szCs w:val="14"/>
                <w:lang w:val="en-US"/>
              </w:rPr>
            </w:pPr>
            <w:r>
              <w:rPr>
                <w:rFonts w:eastAsia="Arial" w:cs="Arial"/>
                <w:noProof/>
                <w:sz w:val="14"/>
                <w:szCs w:val="14"/>
                <w:lang w:val="en-US"/>
              </w:rPr>
              <w:drawing>
                <wp:inline distT="0" distB="0" distL="0" distR="0" wp14:anchorId="139C5C12" wp14:editId="7084CA85">
                  <wp:extent cx="1350335" cy="349204"/>
                  <wp:effectExtent l="0" t="0" r="0" b="0"/>
                  <wp:docPr id="1" name="Picture 1" descr="C:\Users\emeliyaa\Desktop\D2-logo-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iyaa\Desktop\D2-logo-4C.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307" cy="349197"/>
                          </a:xfrm>
                          <a:prstGeom prst="rect">
                            <a:avLst/>
                          </a:prstGeom>
                          <a:noFill/>
                          <a:ln>
                            <a:noFill/>
                          </a:ln>
                        </pic:spPr>
                      </pic:pic>
                    </a:graphicData>
                  </a:graphic>
                </wp:inline>
              </w:drawing>
            </w:r>
          </w:p>
        </w:tc>
        <w:tc>
          <w:tcPr>
            <w:tcW w:w="2485" w:type="dxa"/>
          </w:tcPr>
          <w:p w:rsidR="00F612B1" w:rsidRDefault="00F612B1">
            <w:pPr>
              <w:tabs>
                <w:tab w:val="left" w:pos="288"/>
              </w:tabs>
              <w:rPr>
                <w:rFonts w:eastAsia="Arial"/>
                <w:szCs w:val="22"/>
                <w:lang w:val="en-US"/>
              </w:rPr>
            </w:pPr>
          </w:p>
        </w:tc>
      </w:tr>
    </w:tbl>
    <w:p w:rsidR="00F612B1" w:rsidRDefault="005F0780">
      <w:pPr>
        <w:pStyle w:val="BodyText"/>
        <w:rPr>
          <w:lang w:val="en-US"/>
        </w:rPr>
      </w:pPr>
      <w:r>
        <w:rPr>
          <w:lang w:val="en-US"/>
        </w:rPr>
        <w:t>Press Release</w:t>
      </w:r>
    </w:p>
    <w:p w:rsidR="00F612B1" w:rsidRDefault="00D62F16">
      <w:pPr>
        <w:pStyle w:val="Title"/>
        <w:jc w:val="center"/>
        <w:rPr>
          <w:lang w:val="en-US"/>
        </w:rPr>
      </w:pPr>
      <w:r w:rsidRPr="00D62F16">
        <w:rPr>
          <w:lang w:val="en-US"/>
        </w:rPr>
        <w:t xml:space="preserve">6 </w:t>
      </w:r>
      <w:r>
        <w:rPr>
          <w:lang w:val="en-US"/>
        </w:rPr>
        <w:t>Dentons Russian tax and customs practice lawyers</w:t>
      </w:r>
      <w:r w:rsidR="005F0780">
        <w:rPr>
          <w:lang w:val="en-US"/>
        </w:rPr>
        <w:t xml:space="preserve"> ranked among the best tax litigators by </w:t>
      </w:r>
      <w:r w:rsidR="005F0780">
        <w:rPr>
          <w:i/>
          <w:lang w:val="en-US"/>
        </w:rPr>
        <w:t>Tax Controversy Leaders</w:t>
      </w:r>
      <w:r w:rsidR="005F0780">
        <w:rPr>
          <w:lang w:val="en-US"/>
        </w:rPr>
        <w:t xml:space="preserve"> 201</w:t>
      </w:r>
      <w:r>
        <w:rPr>
          <w:lang w:val="en-US"/>
        </w:rPr>
        <w:t>7</w:t>
      </w:r>
    </w:p>
    <w:p w:rsidR="00F612B1" w:rsidRDefault="00D62F16" w:rsidP="00D62F16">
      <w:pPr>
        <w:spacing w:before="100" w:beforeAutospacing="1" w:after="100" w:afterAutospacing="1"/>
        <w:jc w:val="both"/>
        <w:rPr>
          <w:szCs w:val="20"/>
        </w:rPr>
      </w:pPr>
      <w:r>
        <w:rPr>
          <w:rFonts w:eastAsia="Calibri" w:cs="Arial"/>
          <w:b/>
          <w:szCs w:val="20"/>
          <w:lang w:val="en-US"/>
        </w:rPr>
        <w:t>Moscow, September 8</w:t>
      </w:r>
      <w:r w:rsidR="005F0780">
        <w:rPr>
          <w:rFonts w:eastAsia="Calibri" w:cs="Arial"/>
          <w:b/>
          <w:szCs w:val="20"/>
          <w:lang w:val="en-US"/>
        </w:rPr>
        <w:t>, 201</w:t>
      </w:r>
      <w:r>
        <w:rPr>
          <w:rFonts w:eastAsia="Calibri" w:cs="Arial"/>
          <w:b/>
          <w:szCs w:val="20"/>
          <w:lang w:val="en-US"/>
        </w:rPr>
        <w:t>7</w:t>
      </w:r>
      <w:r w:rsidR="005F0780">
        <w:rPr>
          <w:rFonts w:eastAsia="Calibri" w:cs="Arial"/>
          <w:szCs w:val="20"/>
          <w:lang w:val="en-US"/>
        </w:rPr>
        <w:t xml:space="preserve"> –</w:t>
      </w:r>
      <w:r>
        <w:rPr>
          <w:rFonts w:eastAsia="Calibri" w:cs="Arial"/>
          <w:szCs w:val="20"/>
          <w:lang w:val="en-US"/>
        </w:rPr>
        <w:t xml:space="preserve"> </w:t>
      </w:r>
      <w:r w:rsidR="005F0780">
        <w:rPr>
          <w:rFonts w:cs="Arial"/>
          <w:color w:val="000000"/>
          <w:szCs w:val="20"/>
          <w:lang w:val="en"/>
        </w:rPr>
        <w:t>Partner and head of Dentons' Russian Tax and Customs practice</w:t>
      </w:r>
      <w:r>
        <w:rPr>
          <w:rFonts w:cs="Arial"/>
          <w:color w:val="000000"/>
          <w:szCs w:val="20"/>
          <w:lang w:val="en"/>
        </w:rPr>
        <w:t xml:space="preserve"> </w:t>
      </w:r>
      <w:hyperlink r:id="rId10" w:history="1">
        <w:r w:rsidRPr="00DA6645">
          <w:rPr>
            <w:rStyle w:val="Hyperlink"/>
          </w:rPr>
          <w:t>Dzhangar Dzhalchinov</w:t>
        </w:r>
      </w:hyperlink>
      <w:r>
        <w:rPr>
          <w:rFonts w:cs="Arial"/>
          <w:color w:val="000000"/>
          <w:szCs w:val="20"/>
          <w:lang w:val="en"/>
        </w:rPr>
        <w:t xml:space="preserve">, </w:t>
      </w:r>
      <w:proofErr w:type="gramStart"/>
      <w:r>
        <w:rPr>
          <w:rFonts w:cs="Arial"/>
          <w:color w:val="000000"/>
          <w:szCs w:val="20"/>
          <w:lang w:val="en"/>
        </w:rPr>
        <w:t>counsels</w:t>
      </w:r>
      <w:proofErr w:type="gramEnd"/>
      <w:r w:rsidR="005F0780">
        <w:rPr>
          <w:rFonts w:cs="Arial"/>
          <w:color w:val="000000"/>
          <w:szCs w:val="20"/>
          <w:lang w:val="en"/>
        </w:rPr>
        <w:t xml:space="preserve"> </w:t>
      </w:r>
      <w:hyperlink r:id="rId11" w:history="1">
        <w:r w:rsidRPr="00DA6645">
          <w:rPr>
            <w:rStyle w:val="Hyperlink"/>
            <w:rFonts w:cs="Arial"/>
            <w:szCs w:val="20"/>
            <w:lang w:val="en"/>
          </w:rPr>
          <w:t>Boris Bruk</w:t>
        </w:r>
      </w:hyperlink>
      <w:r>
        <w:rPr>
          <w:rFonts w:cs="Arial"/>
          <w:color w:val="000000"/>
          <w:szCs w:val="20"/>
          <w:lang w:val="en"/>
        </w:rPr>
        <w:t xml:space="preserve"> and </w:t>
      </w:r>
      <w:hyperlink r:id="rId12" w:history="1">
        <w:r w:rsidRPr="00DA6645">
          <w:rPr>
            <w:rStyle w:val="Hyperlink"/>
            <w:rFonts w:cs="Arial"/>
            <w:szCs w:val="20"/>
            <w:lang w:val="en"/>
          </w:rPr>
          <w:t>Igor Shikov</w:t>
        </w:r>
      </w:hyperlink>
      <w:r w:rsidR="005F0780">
        <w:rPr>
          <w:rFonts w:cs="Arial"/>
          <w:color w:val="000000"/>
          <w:szCs w:val="20"/>
          <w:lang w:val="en"/>
        </w:rPr>
        <w:t xml:space="preserve">, </w:t>
      </w:r>
      <w:r>
        <w:rPr>
          <w:rFonts w:cs="Arial"/>
          <w:color w:val="000000"/>
          <w:szCs w:val="20"/>
          <w:lang w:val="en"/>
        </w:rPr>
        <w:t>and a</w:t>
      </w:r>
      <w:r w:rsidR="005F0780">
        <w:rPr>
          <w:rFonts w:cs="Arial"/>
          <w:color w:val="000000"/>
          <w:szCs w:val="20"/>
          <w:lang w:val="en"/>
        </w:rPr>
        <w:t>ssociate</w:t>
      </w:r>
      <w:r>
        <w:rPr>
          <w:rFonts w:cs="Arial"/>
          <w:color w:val="000000"/>
          <w:szCs w:val="20"/>
          <w:lang w:val="en"/>
        </w:rPr>
        <w:t xml:space="preserve">s Gennady Timonichev, Kristina </w:t>
      </w:r>
      <w:proofErr w:type="spellStart"/>
      <w:r>
        <w:rPr>
          <w:rFonts w:cs="Arial"/>
          <w:color w:val="000000"/>
          <w:szCs w:val="20"/>
          <w:lang w:val="en"/>
        </w:rPr>
        <w:t>Baleva</w:t>
      </w:r>
      <w:proofErr w:type="spellEnd"/>
      <w:r>
        <w:rPr>
          <w:rFonts w:cs="Arial"/>
          <w:color w:val="000000"/>
          <w:szCs w:val="20"/>
          <w:lang w:val="en"/>
        </w:rPr>
        <w:t xml:space="preserve"> and Anna </w:t>
      </w:r>
      <w:proofErr w:type="spellStart"/>
      <w:r>
        <w:rPr>
          <w:rFonts w:cs="Arial"/>
          <w:color w:val="000000"/>
          <w:szCs w:val="20"/>
          <w:lang w:val="en"/>
        </w:rPr>
        <w:t>Knelz</w:t>
      </w:r>
      <w:proofErr w:type="spellEnd"/>
      <w:r w:rsidR="005F0780">
        <w:rPr>
          <w:rFonts w:cs="Arial"/>
          <w:color w:val="000000"/>
          <w:szCs w:val="20"/>
          <w:lang w:val="en"/>
        </w:rPr>
        <w:t xml:space="preserve"> have been ranked among the leaders in tax dispute resolution in Russia by the </w:t>
      </w:r>
      <w:r w:rsidR="005F0780">
        <w:rPr>
          <w:rFonts w:cs="Arial"/>
          <w:i/>
          <w:iCs/>
          <w:color w:val="000000"/>
          <w:szCs w:val="20"/>
          <w:lang w:val="en"/>
        </w:rPr>
        <w:t>International Tax Review</w:t>
      </w:r>
      <w:r w:rsidR="005F0780">
        <w:rPr>
          <w:rFonts w:cs="Arial"/>
          <w:color w:val="000000"/>
          <w:szCs w:val="20"/>
          <w:lang w:val="en"/>
        </w:rPr>
        <w:t>.</w:t>
      </w:r>
    </w:p>
    <w:p w:rsidR="00041F84" w:rsidRDefault="005F0780" w:rsidP="00041F84">
      <w:pPr>
        <w:spacing w:before="100" w:beforeAutospacing="1" w:after="100" w:afterAutospacing="1"/>
        <w:jc w:val="both"/>
        <w:rPr>
          <w:rFonts w:eastAsia="Calibri" w:cs="Arial"/>
          <w:szCs w:val="20"/>
          <w:lang w:val="en-US"/>
        </w:rPr>
      </w:pPr>
      <w:r>
        <w:rPr>
          <w:rFonts w:cs="Arial"/>
          <w:color w:val="000000"/>
          <w:szCs w:val="20"/>
          <w:lang w:val="en"/>
        </w:rPr>
        <w:t xml:space="preserve">The </w:t>
      </w:r>
      <w:r>
        <w:rPr>
          <w:rFonts w:cs="Arial"/>
          <w:i/>
          <w:iCs/>
          <w:color w:val="000000"/>
          <w:szCs w:val="20"/>
          <w:lang w:val="en"/>
        </w:rPr>
        <w:t>Tax Controversy Leaders</w:t>
      </w:r>
      <w:r>
        <w:rPr>
          <w:rFonts w:cs="Arial"/>
          <w:color w:val="000000"/>
          <w:szCs w:val="20"/>
          <w:lang w:val="en"/>
        </w:rPr>
        <w:t xml:space="preserve"> rating is based on outstanding achievements in the previous year, and recommendations from clients and colleagues. The full list can be found on the </w:t>
      </w:r>
      <w:hyperlink r:id="rId13" w:history="1">
        <w:r w:rsidR="00D62F16" w:rsidRPr="00D62F16">
          <w:rPr>
            <w:rStyle w:val="Hyperlink"/>
            <w:rFonts w:eastAsia="Calibri" w:cs="Arial"/>
            <w:szCs w:val="20"/>
            <w:lang w:val="en-US"/>
          </w:rPr>
          <w:t>International Tax Review</w:t>
        </w:r>
      </w:hyperlink>
      <w:r w:rsidR="00D62F16">
        <w:rPr>
          <w:rFonts w:eastAsia="Calibri" w:cs="Arial"/>
          <w:szCs w:val="20"/>
          <w:lang w:val="en-US"/>
        </w:rPr>
        <w:t xml:space="preserve"> website.</w:t>
      </w:r>
    </w:p>
    <w:p w:rsidR="00041F84" w:rsidRPr="00041F84" w:rsidRDefault="00041F84" w:rsidP="00041F84">
      <w:pPr>
        <w:spacing w:before="100" w:beforeAutospacing="1" w:after="100" w:afterAutospacing="1"/>
        <w:jc w:val="both"/>
        <w:rPr>
          <w:rFonts w:eastAsia="Calibri" w:cs="Arial"/>
          <w:szCs w:val="20"/>
          <w:lang w:val="en-US"/>
        </w:rPr>
      </w:pPr>
      <w:hyperlink r:id="rId14" w:history="1">
        <w:r w:rsidR="00DA6645" w:rsidRPr="00041F84">
          <w:rPr>
            <w:rStyle w:val="Hyperlink"/>
          </w:rPr>
          <w:t>Dzhangar Dzhalchinov</w:t>
        </w:r>
      </w:hyperlink>
      <w:r w:rsidR="00D62F16" w:rsidRPr="00041F84">
        <w:rPr>
          <w:lang w:val="en-US"/>
        </w:rPr>
        <w:t xml:space="preserve">, </w:t>
      </w:r>
      <w:r w:rsidR="00DA6645" w:rsidRPr="00041F84">
        <w:rPr>
          <w:rFonts w:cs="Arial"/>
          <w:color w:val="000000"/>
          <w:szCs w:val="20"/>
          <w:lang w:val="en"/>
        </w:rPr>
        <w:t>partner and head of Dentons' Russian Tax and Customs practice</w:t>
      </w:r>
      <w:r w:rsidR="00D62F16" w:rsidRPr="00041F84">
        <w:rPr>
          <w:lang w:val="en-US"/>
        </w:rPr>
        <w:t xml:space="preserve">: </w:t>
      </w:r>
      <w:r w:rsidRPr="00041F84">
        <w:rPr>
          <w:rFonts w:cs="Arial"/>
          <w:szCs w:val="20"/>
        </w:rPr>
        <w:t>"</w:t>
      </w:r>
      <w:r w:rsidRPr="00041F84">
        <w:rPr>
          <w:rFonts w:cs="Arial"/>
          <w:i/>
          <w:iCs/>
          <w:szCs w:val="20"/>
        </w:rPr>
        <w:t xml:space="preserve">We are delighted that International Tax Review </w:t>
      </w:r>
      <w:r w:rsidRPr="00041F84">
        <w:rPr>
          <w:rFonts w:cs="Arial"/>
          <w:i/>
          <w:szCs w:val="20"/>
        </w:rPr>
        <w:t>has again ranked our Russia tax litigation team's performance highly. This recognition confirms our lawyers' high standard of professionalism and the Firm's success in this practice area</w:t>
      </w:r>
      <w:r>
        <w:rPr>
          <w:rFonts w:cs="Arial"/>
          <w:szCs w:val="20"/>
        </w:rPr>
        <w:t>."</w:t>
      </w:r>
    </w:p>
    <w:p w:rsidR="00D62F16" w:rsidRPr="00455A94" w:rsidRDefault="00D62F16" w:rsidP="00D62F16">
      <w:pPr>
        <w:spacing w:after="120"/>
        <w:jc w:val="both"/>
        <w:rPr>
          <w:rFonts w:eastAsia="Calibri" w:cs="Arial"/>
          <w:szCs w:val="20"/>
          <w:lang w:val="en-US"/>
        </w:rPr>
      </w:pPr>
      <w:r>
        <w:rPr>
          <w:rFonts w:cs="Arial"/>
          <w:color w:val="000000"/>
        </w:rPr>
        <w:t xml:space="preserve">Dentons' Russian Tax and Customs practice comprises </w:t>
      </w:r>
      <w:r w:rsidRPr="003C3B95">
        <w:rPr>
          <w:rFonts w:cs="Arial"/>
          <w:b/>
          <w:color w:val="000000"/>
        </w:rPr>
        <w:t>19 specialists</w:t>
      </w:r>
      <w:r>
        <w:rPr>
          <w:rFonts w:cs="Arial"/>
          <w:color w:val="000000"/>
        </w:rPr>
        <w:t xml:space="preserve">. It is one of the leading </w:t>
      </w:r>
      <w:bookmarkStart w:id="0" w:name="_GoBack"/>
      <w:bookmarkEnd w:id="0"/>
      <w:r>
        <w:rPr>
          <w:rFonts w:cs="Arial"/>
          <w:color w:val="000000"/>
        </w:rPr>
        <w:t>practices in Russia, ranked </w:t>
      </w:r>
      <w:r>
        <w:rPr>
          <w:rFonts w:cs="Arial"/>
          <w:b/>
          <w:bCs/>
          <w:color w:val="000000"/>
        </w:rPr>
        <w:t>Band 1 </w:t>
      </w:r>
      <w:r>
        <w:rPr>
          <w:rFonts w:cs="Arial"/>
          <w:color w:val="000000"/>
        </w:rPr>
        <w:t>by </w:t>
      </w:r>
      <w:r>
        <w:rPr>
          <w:rFonts w:cs="Arial"/>
          <w:i/>
          <w:iCs/>
          <w:color w:val="000000"/>
        </w:rPr>
        <w:t>Chambers Europe</w:t>
      </w:r>
      <w:r>
        <w:rPr>
          <w:rFonts w:cs="Arial"/>
          <w:color w:val="000000"/>
        </w:rPr>
        <w:t> 2017.</w:t>
      </w:r>
    </w:p>
    <w:p w:rsidR="00D62F16" w:rsidRPr="00D50314" w:rsidRDefault="00D62F16" w:rsidP="00D62F16">
      <w:pPr>
        <w:pStyle w:val="Bullet"/>
        <w:numPr>
          <w:ilvl w:val="0"/>
          <w:numId w:val="0"/>
        </w:numPr>
        <w:spacing w:after="120"/>
        <w:jc w:val="both"/>
      </w:pPr>
      <w:r w:rsidRPr="00D50314">
        <w:rPr>
          <w:rFonts w:ascii="Arial" w:eastAsia="Calibri" w:hAnsi="Arial" w:cs="Arial"/>
          <w:color w:val="auto"/>
          <w:lang w:val="en-US" w:eastAsia="en-US"/>
        </w:rPr>
        <w:t xml:space="preserve">The practice provides clients with the full spectrum of </w:t>
      </w:r>
      <w:r w:rsidRPr="00D50314">
        <w:rPr>
          <w:rFonts w:ascii="Arial" w:eastAsia="Calibri" w:hAnsi="Arial" w:cs="Arial"/>
          <w:b/>
          <w:color w:val="auto"/>
          <w:lang w:val="en-US" w:eastAsia="en-US"/>
        </w:rPr>
        <w:t>tax services</w:t>
      </w:r>
      <w:r w:rsidRPr="00D50314">
        <w:rPr>
          <w:rFonts w:ascii="Arial" w:eastAsia="Calibri" w:hAnsi="Arial" w:cs="Arial"/>
          <w:color w:val="auto"/>
          <w:lang w:val="en-US" w:eastAsia="en-US"/>
        </w:rPr>
        <w:t>, including: international tax advice</w:t>
      </w:r>
      <w:r>
        <w:rPr>
          <w:rFonts w:ascii="Arial" w:eastAsia="Calibri" w:hAnsi="Arial" w:cs="Arial"/>
          <w:color w:val="auto"/>
          <w:lang w:val="en-US" w:eastAsia="en-US"/>
        </w:rPr>
        <w:t xml:space="preserve"> and structuring domestic tax, </w:t>
      </w:r>
      <w:r w:rsidRPr="00D50314">
        <w:rPr>
          <w:rFonts w:ascii="Arial" w:eastAsia="Calibri" w:hAnsi="Arial" w:cs="Arial"/>
          <w:color w:val="auto"/>
          <w:lang w:val="en-US" w:eastAsia="en-US"/>
        </w:rPr>
        <w:t xml:space="preserve">advice on </w:t>
      </w:r>
      <w:proofErr w:type="spellStart"/>
      <w:r w:rsidRPr="00D50314">
        <w:rPr>
          <w:rFonts w:ascii="Arial" w:eastAsia="Calibri" w:hAnsi="Arial" w:cs="Arial"/>
          <w:color w:val="auto"/>
          <w:lang w:val="en-US" w:eastAsia="en-US"/>
        </w:rPr>
        <w:t>deoffshori</w:t>
      </w:r>
      <w:r>
        <w:rPr>
          <w:rFonts w:ascii="Arial" w:eastAsia="Calibri" w:hAnsi="Arial" w:cs="Arial"/>
          <w:color w:val="auto"/>
          <w:lang w:val="en-US" w:eastAsia="en-US"/>
        </w:rPr>
        <w:t>z</w:t>
      </w:r>
      <w:r w:rsidRPr="00D50314">
        <w:rPr>
          <w:rFonts w:ascii="Arial" w:eastAsia="Calibri" w:hAnsi="Arial" w:cs="Arial"/>
          <w:color w:val="auto"/>
          <w:lang w:val="en-US" w:eastAsia="en-US"/>
        </w:rPr>
        <w:t>ation</w:t>
      </w:r>
      <w:proofErr w:type="spellEnd"/>
      <w:r w:rsidRPr="00D50314">
        <w:rPr>
          <w:rFonts w:ascii="Arial" w:eastAsia="Calibri" w:hAnsi="Arial" w:cs="Arial"/>
          <w:color w:val="auto"/>
          <w:lang w:val="en-US" w:eastAsia="en-US"/>
        </w:rPr>
        <w:t xml:space="preserve"> issues, transfer pricing, contract tax review, tax restructurings, tax due diligence / self-checks, tax M&amp;A support, tax dispute resolution, domestic accounting advice, tax legislative work, individual tax planning and compliance, tax risk management, tax incentives, real estate tax</w:t>
      </w:r>
      <w:r>
        <w:rPr>
          <w:rFonts w:ascii="Arial" w:eastAsia="Calibri" w:hAnsi="Arial" w:cs="Arial"/>
          <w:color w:val="auto"/>
          <w:lang w:val="en-US" w:eastAsia="en-US"/>
        </w:rPr>
        <w:t>,</w:t>
      </w:r>
      <w:r w:rsidRPr="00D50314">
        <w:rPr>
          <w:rFonts w:ascii="Arial" w:eastAsia="Calibri" w:hAnsi="Arial" w:cs="Arial"/>
          <w:color w:val="auto"/>
          <w:lang w:val="en-US" w:eastAsia="en-US"/>
        </w:rPr>
        <w:t xml:space="preserve"> and </w:t>
      </w:r>
      <w:r w:rsidRPr="00D50314">
        <w:rPr>
          <w:rFonts w:ascii="Arial" w:eastAsia="Calibri" w:hAnsi="Arial" w:cs="Arial"/>
          <w:b/>
          <w:color w:val="auto"/>
          <w:lang w:val="en-US" w:eastAsia="en-US"/>
        </w:rPr>
        <w:t>customs services</w:t>
      </w:r>
      <w:r w:rsidRPr="00D50314">
        <w:rPr>
          <w:rFonts w:ascii="Arial" w:eastAsia="Calibri" w:hAnsi="Arial" w:cs="Arial"/>
          <w:color w:val="auto"/>
          <w:lang w:val="en-US" w:eastAsia="en-US"/>
        </w:rPr>
        <w:t>, including customs compliance health checks, supply chain structuring and goods import modeling with the subsequent implementation of the developed supply structure, ensuring the declaration process complies with general customs requirements, advising on the correct determination of customs value, advising on the classification of imported goods, obtaining the preliminary approval of customs authorities for the classification of goods, etc.</w:t>
      </w:r>
    </w:p>
    <w:p w:rsidR="00D62F16" w:rsidRDefault="00D62F16" w:rsidP="00D62F16">
      <w:pPr>
        <w:spacing w:line="23" w:lineRule="atLeast"/>
        <w:rPr>
          <w:rFonts w:cs="Arial"/>
          <w:b/>
          <w:color w:val="000000"/>
          <w:szCs w:val="20"/>
          <w:lang w:val="en-US"/>
        </w:rPr>
      </w:pPr>
    </w:p>
    <w:p w:rsidR="00D62F16" w:rsidRPr="00AA0C7C" w:rsidRDefault="00D62F16" w:rsidP="00D62F16">
      <w:pPr>
        <w:spacing w:line="23" w:lineRule="atLeast"/>
        <w:rPr>
          <w:rFonts w:cs="Arial"/>
          <w:b/>
          <w:color w:val="000000"/>
          <w:szCs w:val="20"/>
          <w:lang w:val="en-US"/>
        </w:rPr>
      </w:pPr>
      <w:r w:rsidRPr="00AA0C7C">
        <w:rPr>
          <w:rFonts w:cs="Arial"/>
          <w:b/>
          <w:color w:val="000000"/>
          <w:szCs w:val="20"/>
          <w:lang w:val="en-US"/>
        </w:rPr>
        <w:t>About Dentons</w:t>
      </w:r>
    </w:p>
    <w:p w:rsidR="00D62F16" w:rsidRDefault="00D62F16" w:rsidP="00D62F16">
      <w:pPr>
        <w:jc w:val="both"/>
        <w:rPr>
          <w:rFonts w:ascii="Calibri" w:hAnsi="Calibri" w:cs="Times New Roman"/>
        </w:rPr>
      </w:pPr>
      <w:r>
        <w:rPr>
          <w:rFonts w:cs="Arial"/>
        </w:rPr>
        <w:t xml:space="preserve">Dentons is the world's largest law firm*, delivering quality and value to clients around the globe. Dentons is a leader on the </w:t>
      </w:r>
      <w:proofErr w:type="spellStart"/>
      <w:r>
        <w:rPr>
          <w:rFonts w:cs="Arial"/>
        </w:rPr>
        <w:t>Acritas</w:t>
      </w:r>
      <w:proofErr w:type="spellEnd"/>
      <w:r>
        <w:rPr>
          <w:rFonts w:cs="Arial"/>
        </w:rPr>
        <w:t xml:space="preserve"> Global Elite Brand Index, a BTI Client Service 30 Award winner and recognized by prominent business and legal publications for its innovations in client service, including founding </w:t>
      </w:r>
      <w:proofErr w:type="spellStart"/>
      <w:r>
        <w:rPr>
          <w:rFonts w:cs="Arial"/>
        </w:rPr>
        <w:t>Nextlaw</w:t>
      </w:r>
      <w:proofErr w:type="spellEnd"/>
      <w:r>
        <w:rPr>
          <w:rFonts w:cs="Arial"/>
        </w:rPr>
        <w:t xml:space="preserve"> Labs and the </w:t>
      </w:r>
      <w:proofErr w:type="spellStart"/>
      <w:r>
        <w:rPr>
          <w:rFonts w:cs="Arial"/>
        </w:rPr>
        <w:t>Nextlaw</w:t>
      </w:r>
      <w:proofErr w:type="spellEnd"/>
      <w:r>
        <w:rPr>
          <w:rFonts w:cs="Arial"/>
        </w:rPr>
        <w:t xml:space="preserve"> Global Referral Network. Dentons' polycentric approach and world-class talent challenge the status quo to advance client interests in the communities in which we live and work.  </w:t>
      </w:r>
      <w:hyperlink r:id="rId15" w:history="1">
        <w:r>
          <w:rPr>
            <w:rStyle w:val="Hyperlink"/>
            <w:rFonts w:cs="Arial"/>
          </w:rPr>
          <w:t>www</w:t>
        </w:r>
        <w:r w:rsidRPr="006F275A">
          <w:rPr>
            <w:rStyle w:val="Hyperlink"/>
            <w:rFonts w:cs="Arial"/>
          </w:rPr>
          <w:t>.</w:t>
        </w:r>
        <w:r>
          <w:rPr>
            <w:rStyle w:val="Hyperlink"/>
            <w:rFonts w:cs="Arial"/>
          </w:rPr>
          <w:t>dentons</w:t>
        </w:r>
        <w:r w:rsidRPr="006F275A">
          <w:rPr>
            <w:rStyle w:val="Hyperlink"/>
            <w:rFonts w:cs="Arial"/>
          </w:rPr>
          <w:t>.</w:t>
        </w:r>
        <w:r>
          <w:rPr>
            <w:rStyle w:val="Hyperlink"/>
            <w:rFonts w:cs="Arial"/>
          </w:rPr>
          <w:t>com</w:t>
        </w:r>
      </w:hyperlink>
    </w:p>
    <w:p w:rsidR="00D62F16" w:rsidRPr="006F275A" w:rsidRDefault="00D62F16" w:rsidP="00D62F16">
      <w:pPr>
        <w:jc w:val="both"/>
        <w:rPr>
          <w:rFonts w:cs="Arial"/>
          <w:color w:val="000000"/>
          <w:szCs w:val="20"/>
        </w:rPr>
      </w:pPr>
    </w:p>
    <w:p w:rsidR="00D62F16" w:rsidRPr="00353907" w:rsidRDefault="00D62F16" w:rsidP="00D62F16">
      <w:pPr>
        <w:jc w:val="both"/>
        <w:rPr>
          <w:rFonts w:cs="Arial"/>
          <w:color w:val="000000"/>
          <w:sz w:val="16"/>
          <w:szCs w:val="16"/>
        </w:rPr>
      </w:pPr>
      <w:r w:rsidRPr="00353907">
        <w:rPr>
          <w:rFonts w:cs="Arial"/>
          <w:color w:val="000000"/>
          <w:sz w:val="16"/>
          <w:szCs w:val="16"/>
        </w:rPr>
        <w:t>* The American Lawyer 2016 – Global 100 law firm ranking by number of lawyers.</w:t>
      </w:r>
    </w:p>
    <w:p w:rsidR="00F612B1" w:rsidRPr="00D62F16" w:rsidRDefault="00F612B1" w:rsidP="00D62F16">
      <w:pPr>
        <w:jc w:val="both"/>
      </w:pPr>
    </w:p>
    <w:p w:rsidR="00F612B1" w:rsidRDefault="00F612B1">
      <w:pPr>
        <w:jc w:val="both"/>
        <w:rPr>
          <w:lang w:val="en"/>
        </w:rPr>
      </w:pPr>
    </w:p>
    <w:sectPr w:rsidR="00F612B1" w:rsidSect="00041F84">
      <w:headerReference w:type="even" r:id="rId16"/>
      <w:headerReference w:type="default" r:id="rId17"/>
      <w:footerReference w:type="even" r:id="rId18"/>
      <w:footerReference w:type="default" r:id="rId19"/>
      <w:headerReference w:type="first" r:id="rId20"/>
      <w:footerReference w:type="first" r:id="rId21"/>
      <w:pgSz w:w="11909" w:h="16834" w:code="9"/>
      <w:pgMar w:top="1440" w:right="1440" w:bottom="1440" w:left="1440" w:header="720" w:footer="5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B1" w:rsidRDefault="005F0780">
      <w:r>
        <w:separator/>
      </w:r>
    </w:p>
  </w:endnote>
  <w:endnote w:type="continuationSeparator" w:id="0">
    <w:p w:rsidR="00F612B1" w:rsidRDefault="005F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abic Transparent">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16" w:rsidRDefault="00D6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B1" w:rsidRDefault="00F612B1">
    <w:pPr>
      <w:pStyle w:val="Footer"/>
    </w:pPr>
  </w:p>
  <w:p w:rsidR="00F612B1" w:rsidRDefault="005F0780">
    <w:pPr>
      <w:pStyle w:val="Footer"/>
      <w:rPr>
        <w:color w:val="FFFFFF" w:themeColor="background1"/>
      </w:rPr>
    </w:pPr>
    <w:r>
      <w:rPr>
        <w:color w:val="FFFFFF" w:themeColor="background1"/>
      </w:rPr>
      <w:fldChar w:fldCharType="begin"/>
    </w:r>
    <w:r>
      <w:rPr>
        <w:rFonts w:ascii="Verdana" w:hAnsi="Verdana"/>
        <w:color w:val="FFFFFF" w:themeColor="background1"/>
      </w:rPr>
      <w:instrText xml:space="preserve"> DOCPROPERTY ImanageFooterVariable </w:instrText>
    </w:r>
    <w:r>
      <w:rPr>
        <w:color w:val="FFFFFF" w:themeColor="background1"/>
      </w:rPr>
      <w:fldChar w:fldCharType="separate"/>
    </w:r>
    <w:r w:rsidR="00041F84">
      <w:rPr>
        <w:rFonts w:ascii="Verdana" w:hAnsi="Verdana"/>
        <w:color w:val="FFFFFF" w:themeColor="background1"/>
      </w:rPr>
      <w:t>Moscow 5409507.1</w:t>
    </w:r>
    <w:r>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B1" w:rsidRDefault="005F0780">
    <w:pPr>
      <w:tabs>
        <w:tab w:val="right" w:pos="900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B1" w:rsidRDefault="005F0780">
      <w:r>
        <w:separator/>
      </w:r>
    </w:p>
  </w:footnote>
  <w:footnote w:type="continuationSeparator" w:id="0">
    <w:p w:rsidR="00F612B1" w:rsidRDefault="005F0780">
      <w:r>
        <w:separator/>
      </w:r>
    </w:p>
    <w:p w:rsidR="00F612B1" w:rsidRDefault="00F612B1"/>
  </w:footnote>
  <w:footnote w:type="continuationNotice" w:id="1">
    <w:p w:rsidR="00F612B1" w:rsidRDefault="005F0780">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16" w:rsidRDefault="00D62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16" w:rsidRDefault="00D62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16" w:rsidRDefault="00D62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1B9F51B4"/>
    <w:multiLevelType w:val="multilevel"/>
    <w:tmpl w:val="7B8E6952"/>
    <w:styleLink w:val="Bullets"/>
    <w:lvl w:ilvl="0">
      <w:start w:val="1"/>
      <w:numFmt w:val="bullet"/>
      <w:pStyle w:val="Bullet"/>
      <w:lvlText w:val=""/>
      <w:lvlJc w:val="left"/>
      <w:pPr>
        <w:ind w:left="360" w:hanging="360"/>
      </w:pPr>
      <w:rPr>
        <w:rFonts w:ascii="Symbol" w:hAnsi="Symbol" w:cs="Times New Roman" w:hint="default"/>
        <w:color w:val="EEECE1"/>
      </w:rPr>
    </w:lvl>
    <w:lvl w:ilvl="1">
      <w:start w:val="1"/>
      <w:numFmt w:val="bullet"/>
      <w:lvlText w:val=""/>
      <w:lvlJc w:val="left"/>
      <w:pPr>
        <w:ind w:left="720" w:hanging="360"/>
      </w:pPr>
      <w:rPr>
        <w:rFonts w:ascii="Symbol" w:hAnsi="Symbol" w:cs="Times New Roman" w:hint="default"/>
        <w:color w:val="EEECE1"/>
      </w:rPr>
    </w:lvl>
    <w:lvl w:ilvl="2">
      <w:start w:val="1"/>
      <w:numFmt w:val="bullet"/>
      <w:lvlText w:val=""/>
      <w:lvlJc w:val="left"/>
      <w:pPr>
        <w:ind w:left="1080" w:hanging="360"/>
      </w:pPr>
      <w:rPr>
        <w:rFonts w:ascii="Symbol" w:hAnsi="Symbol" w:cs="Times New Roman" w:hint="default"/>
        <w:color w:val="EEECE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4"/>
  </w:num>
  <w:num w:numId="9">
    <w:abstractNumId w:val="8"/>
  </w:num>
  <w:num w:numId="10">
    <w:abstractNumId w:val="0"/>
  </w:num>
  <w:num w:numId="11">
    <w:abstractNumId w:val="7"/>
  </w:num>
  <w:num w:numId="12">
    <w:abstractNumId w:val="7"/>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en-GB" w:vendorID="8" w:dllVersion="513" w:checkStyle="1"/>
  <w:activeWritingStyle w:appName="MSWord" w:lang="ru-RU" w:vendorID="1" w:dllVersion="512" w:checkStyle="1"/>
  <w:proofState w:spelling="clean" w:grammar="clean"/>
  <w:defaultTabStop w:val="720"/>
  <w:hyphenationZone w:val="425"/>
  <w:drawingGridHorizontalSpacing w:val="100"/>
  <w:drawingGridVerticalSpacing w:val="299"/>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C:\Users\avburke\Desktop\Europe\Dentons_ControversyTax Leaders 2015_ENG.docx"/>
  </w:docVars>
  <w:rsids>
    <w:rsidRoot w:val="00F612B1"/>
    <w:rsid w:val="00041F84"/>
    <w:rsid w:val="005F0780"/>
    <w:rsid w:val="00D62F16"/>
    <w:rsid w:val="00DA6645"/>
    <w:rsid w:val="00F612B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val="en-GB"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BodyText"/>
    <w:link w:val="Heading7Char"/>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uiPriority w:val="99"/>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5B1F69"/>
      <w:ind w:left="720"/>
    </w:pPr>
    <w:rPr>
      <w:i/>
      <w:iCs/>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240"/>
      <w:outlineLvl w:val="0"/>
    </w:pPr>
    <w:rPr>
      <w:b/>
      <w:kern w:val="28"/>
      <w:sz w:val="28"/>
      <w:szCs w:val="20"/>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rPr>
      <w:b/>
      <w:bCs/>
      <w:i/>
      <w:iCs/>
      <w:bdr w:val="none" w:sz="0" w:space="0" w:color="auto"/>
      <w:shd w:val="clear" w:color="auto" w:fill="CDC6B6"/>
    </w:rPr>
  </w:style>
  <w:style w:type="character" w:customStyle="1" w:styleId="Mandatorytext">
    <w:name w:val="Mandatory tex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link w:val="Note"/>
    <w:uiPriority w:val="19"/>
    <w:rPr>
      <w:rFonts w:ascii="Arial" w:hAnsi="Arial" w:cs="Arabic Transparent"/>
      <w:i/>
      <w:iCs/>
      <w:sz w:val="17"/>
      <w:szCs w:val="17"/>
      <w:shd w:val="clear" w:color="auto" w:fill="5B1F69"/>
      <w:lang w:eastAsia="en-US"/>
    </w:rPr>
  </w:style>
  <w:style w:type="character" w:customStyle="1" w:styleId="Heading7Char">
    <w:name w:val="Heading 7 Char"/>
    <w:link w:val="Heading7"/>
    <w:rPr>
      <w:rFonts w:ascii="Arial" w:hAnsi="Arial" w:cs="Arabic Transparent"/>
      <w:b/>
      <w:sz w:val="28"/>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rPr>
      <w:rFonts w:ascii="Calibri" w:eastAsia="Calibri" w:hAnsi="Calibri"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qFormat/>
    <w:pPr>
      <w:tabs>
        <w:tab w:val="left" w:pos="288"/>
      </w:tabs>
      <w:spacing w:line="180" w:lineRule="exact"/>
    </w:pPr>
    <w:rPr>
      <w:rFonts w:ascii="Calibri" w:eastAsia="Calibri" w:hAnsi="Calibri" w:cs="Arial"/>
      <w:sz w:val="14"/>
      <w:szCs w:val="15"/>
    </w:rPr>
  </w:style>
  <w:style w:type="paragraph" w:customStyle="1" w:styleId="Letterheadtel">
    <w:name w:val="Letterhead tel"/>
    <w:basedOn w:val="Letterhead"/>
    <w:uiPriority w:val="19"/>
    <w:pPr>
      <w:tabs>
        <w:tab w:val="clear" w:pos="288"/>
        <w:tab w:val="left" w:pos="284"/>
      </w:tabs>
      <w:spacing w:after="90"/>
      <w:contextualSpacing/>
    </w:pPr>
  </w:style>
  <w:style w:type="paragraph" w:customStyle="1" w:styleId="Letterheadstrapline">
    <w:name w:val="Letterhead strapline"/>
    <w:basedOn w:val="Letterhead"/>
    <w:next w:val="Letterhead"/>
    <w:uiPriority w:val="19"/>
    <w:rPr>
      <w:b/>
      <w:bCs/>
      <w:color w:val="4F81BD"/>
      <w:lang w:val="fr-FR"/>
    </w:rPr>
  </w:style>
  <w:style w:type="table" w:customStyle="1" w:styleId="TableGrid1">
    <w:name w:val="Table Grid1"/>
    <w:basedOn w:val="TableNormal"/>
    <w:next w:val="TableGrid"/>
    <w:uiPriority w:val="59"/>
    <w:rPr>
      <w:rFonts w:ascii="Arial" w:eastAsia="Arial"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Calibri" w:hAnsi="Times New Roman" w:cs="Times New Roman"/>
      <w:sz w:val="24"/>
      <w:lang w:eastAsia="en-GB"/>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val="en-GB"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val="en-GB" w:eastAsia="en-US"/>
    </w:rPr>
  </w:style>
  <w:style w:type="character" w:customStyle="1" w:styleId="BodyTextChar">
    <w:name w:val="Body Text Char"/>
    <w:basedOn w:val="DefaultParagraphFont"/>
    <w:link w:val="BodyText"/>
    <w:rPr>
      <w:rFonts w:ascii="Arial" w:hAnsi="Arial" w:cs="Arabic Transparent"/>
      <w:szCs w:val="24"/>
      <w:lang w:val="en-GB" w:eastAsia="en-US"/>
    </w:rPr>
  </w:style>
  <w:style w:type="paragraph" w:customStyle="1" w:styleId="Bullet">
    <w:name w:val="Bullet"/>
    <w:basedOn w:val="BodyText"/>
    <w:qFormat/>
    <w:rsid w:val="00D62F16"/>
    <w:pPr>
      <w:numPr>
        <w:numId w:val="14"/>
      </w:numPr>
      <w:tabs>
        <w:tab w:val="num" w:pos="360"/>
      </w:tabs>
      <w:spacing w:after="160"/>
      <w:ind w:left="0" w:firstLine="0"/>
    </w:pPr>
    <w:rPr>
      <w:rFonts w:ascii="Calibri" w:eastAsia="MS Mincho" w:hAnsi="Calibri" w:cs="Times New Roman"/>
      <w:color w:val="1F497D"/>
      <w:szCs w:val="20"/>
      <w:lang w:eastAsia="ko-KR"/>
    </w:rPr>
  </w:style>
  <w:style w:type="numbering" w:customStyle="1" w:styleId="Bullets">
    <w:name w:val="Bullets"/>
    <w:uiPriority w:val="99"/>
    <w:rsid w:val="00D62F16"/>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val="en-GB"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BodyText"/>
    <w:link w:val="Heading7Char"/>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uiPriority w:val="99"/>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5B1F69"/>
      <w:ind w:left="720"/>
    </w:pPr>
    <w:rPr>
      <w:i/>
      <w:iCs/>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240"/>
      <w:outlineLvl w:val="0"/>
    </w:pPr>
    <w:rPr>
      <w:b/>
      <w:kern w:val="28"/>
      <w:sz w:val="28"/>
      <w:szCs w:val="20"/>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rPr>
      <w:b/>
      <w:bCs/>
      <w:i/>
      <w:iCs/>
      <w:bdr w:val="none" w:sz="0" w:space="0" w:color="auto"/>
      <w:shd w:val="clear" w:color="auto" w:fill="CDC6B6"/>
    </w:rPr>
  </w:style>
  <w:style w:type="character" w:customStyle="1" w:styleId="Mandatorytext">
    <w:name w:val="Mandatory tex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link w:val="Note"/>
    <w:uiPriority w:val="19"/>
    <w:rPr>
      <w:rFonts w:ascii="Arial" w:hAnsi="Arial" w:cs="Arabic Transparent"/>
      <w:i/>
      <w:iCs/>
      <w:sz w:val="17"/>
      <w:szCs w:val="17"/>
      <w:shd w:val="clear" w:color="auto" w:fill="5B1F69"/>
      <w:lang w:eastAsia="en-US"/>
    </w:rPr>
  </w:style>
  <w:style w:type="character" w:customStyle="1" w:styleId="Heading7Char">
    <w:name w:val="Heading 7 Char"/>
    <w:link w:val="Heading7"/>
    <w:rPr>
      <w:rFonts w:ascii="Arial" w:hAnsi="Arial" w:cs="Arabic Transparent"/>
      <w:b/>
      <w:sz w:val="28"/>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rPr>
      <w:rFonts w:ascii="Calibri" w:eastAsia="Calibri" w:hAnsi="Calibri"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qFormat/>
    <w:pPr>
      <w:tabs>
        <w:tab w:val="left" w:pos="288"/>
      </w:tabs>
      <w:spacing w:line="180" w:lineRule="exact"/>
    </w:pPr>
    <w:rPr>
      <w:rFonts w:ascii="Calibri" w:eastAsia="Calibri" w:hAnsi="Calibri" w:cs="Arial"/>
      <w:sz w:val="14"/>
      <w:szCs w:val="15"/>
    </w:rPr>
  </w:style>
  <w:style w:type="paragraph" w:customStyle="1" w:styleId="Letterheadtel">
    <w:name w:val="Letterhead tel"/>
    <w:basedOn w:val="Letterhead"/>
    <w:uiPriority w:val="19"/>
    <w:pPr>
      <w:tabs>
        <w:tab w:val="clear" w:pos="288"/>
        <w:tab w:val="left" w:pos="284"/>
      </w:tabs>
      <w:spacing w:after="90"/>
      <w:contextualSpacing/>
    </w:pPr>
  </w:style>
  <w:style w:type="paragraph" w:customStyle="1" w:styleId="Letterheadstrapline">
    <w:name w:val="Letterhead strapline"/>
    <w:basedOn w:val="Letterhead"/>
    <w:next w:val="Letterhead"/>
    <w:uiPriority w:val="19"/>
    <w:rPr>
      <w:b/>
      <w:bCs/>
      <w:color w:val="4F81BD"/>
      <w:lang w:val="fr-FR"/>
    </w:rPr>
  </w:style>
  <w:style w:type="table" w:customStyle="1" w:styleId="TableGrid1">
    <w:name w:val="Table Grid1"/>
    <w:basedOn w:val="TableNormal"/>
    <w:next w:val="TableGrid"/>
    <w:uiPriority w:val="59"/>
    <w:rPr>
      <w:rFonts w:ascii="Arial" w:eastAsia="Arial"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Calibri" w:hAnsi="Times New Roman" w:cs="Times New Roman"/>
      <w:sz w:val="24"/>
      <w:lang w:eastAsia="en-GB"/>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val="en-GB"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val="en-GB" w:eastAsia="en-US"/>
    </w:rPr>
  </w:style>
  <w:style w:type="character" w:customStyle="1" w:styleId="BodyTextChar">
    <w:name w:val="Body Text Char"/>
    <w:basedOn w:val="DefaultParagraphFont"/>
    <w:link w:val="BodyText"/>
    <w:rPr>
      <w:rFonts w:ascii="Arial" w:hAnsi="Arial" w:cs="Arabic Transparent"/>
      <w:szCs w:val="24"/>
      <w:lang w:val="en-GB" w:eastAsia="en-US"/>
    </w:rPr>
  </w:style>
  <w:style w:type="paragraph" w:customStyle="1" w:styleId="Bullet">
    <w:name w:val="Bullet"/>
    <w:basedOn w:val="BodyText"/>
    <w:qFormat/>
    <w:rsid w:val="00D62F16"/>
    <w:pPr>
      <w:numPr>
        <w:numId w:val="14"/>
      </w:numPr>
      <w:tabs>
        <w:tab w:val="num" w:pos="360"/>
      </w:tabs>
      <w:spacing w:after="160"/>
      <w:ind w:left="0" w:firstLine="0"/>
    </w:pPr>
    <w:rPr>
      <w:rFonts w:ascii="Calibri" w:eastAsia="MS Mincho" w:hAnsi="Calibri" w:cs="Times New Roman"/>
      <w:color w:val="1F497D"/>
      <w:szCs w:val="20"/>
      <w:lang w:eastAsia="ko-KR"/>
    </w:rPr>
  </w:style>
  <w:style w:type="numbering" w:customStyle="1" w:styleId="Bullets">
    <w:name w:val="Bullets"/>
    <w:uiPriority w:val="99"/>
    <w:rsid w:val="00D62F1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578">
      <w:bodyDiv w:val="1"/>
      <w:marLeft w:val="0"/>
      <w:marRight w:val="0"/>
      <w:marTop w:val="0"/>
      <w:marBottom w:val="0"/>
      <w:divBdr>
        <w:top w:val="none" w:sz="0" w:space="0" w:color="auto"/>
        <w:left w:val="none" w:sz="0" w:space="0" w:color="auto"/>
        <w:bottom w:val="none" w:sz="0" w:space="0" w:color="auto"/>
        <w:right w:val="none" w:sz="0" w:space="0" w:color="auto"/>
      </w:divBdr>
    </w:div>
    <w:div w:id="97606951">
      <w:bodyDiv w:val="1"/>
      <w:marLeft w:val="0"/>
      <w:marRight w:val="0"/>
      <w:marTop w:val="0"/>
      <w:marBottom w:val="0"/>
      <w:divBdr>
        <w:top w:val="none" w:sz="0" w:space="0" w:color="auto"/>
        <w:left w:val="none" w:sz="0" w:space="0" w:color="auto"/>
        <w:bottom w:val="none" w:sz="0" w:space="0" w:color="auto"/>
        <w:right w:val="none" w:sz="0" w:space="0" w:color="auto"/>
      </w:divBdr>
    </w:div>
    <w:div w:id="293995396">
      <w:bodyDiv w:val="1"/>
      <w:marLeft w:val="0"/>
      <w:marRight w:val="0"/>
      <w:marTop w:val="0"/>
      <w:marBottom w:val="0"/>
      <w:divBdr>
        <w:top w:val="none" w:sz="0" w:space="0" w:color="auto"/>
        <w:left w:val="none" w:sz="0" w:space="0" w:color="auto"/>
        <w:bottom w:val="none" w:sz="0" w:space="0" w:color="auto"/>
        <w:right w:val="none" w:sz="0" w:space="0" w:color="auto"/>
      </w:divBdr>
    </w:div>
    <w:div w:id="1040478264">
      <w:bodyDiv w:val="1"/>
      <w:marLeft w:val="0"/>
      <w:marRight w:val="0"/>
      <w:marTop w:val="0"/>
      <w:marBottom w:val="0"/>
      <w:divBdr>
        <w:top w:val="none" w:sz="0" w:space="0" w:color="auto"/>
        <w:left w:val="none" w:sz="0" w:space="0" w:color="auto"/>
        <w:bottom w:val="none" w:sz="0" w:space="0" w:color="auto"/>
        <w:right w:val="none" w:sz="0" w:space="0" w:color="auto"/>
      </w:divBdr>
    </w:div>
    <w:div w:id="1188251020">
      <w:bodyDiv w:val="1"/>
      <w:marLeft w:val="0"/>
      <w:marRight w:val="0"/>
      <w:marTop w:val="0"/>
      <w:marBottom w:val="0"/>
      <w:divBdr>
        <w:top w:val="none" w:sz="0" w:space="0" w:color="auto"/>
        <w:left w:val="none" w:sz="0" w:space="0" w:color="auto"/>
        <w:bottom w:val="none" w:sz="0" w:space="0" w:color="auto"/>
        <w:right w:val="none" w:sz="0" w:space="0" w:color="auto"/>
      </w:divBdr>
    </w:div>
    <w:div w:id="1573278145">
      <w:bodyDiv w:val="1"/>
      <w:marLeft w:val="0"/>
      <w:marRight w:val="0"/>
      <w:marTop w:val="0"/>
      <w:marBottom w:val="0"/>
      <w:divBdr>
        <w:top w:val="none" w:sz="0" w:space="0" w:color="auto"/>
        <w:left w:val="none" w:sz="0" w:space="0" w:color="auto"/>
        <w:bottom w:val="none" w:sz="0" w:space="0" w:color="auto"/>
        <w:right w:val="none" w:sz="0" w:space="0" w:color="auto"/>
      </w:divBdr>
    </w:div>
    <w:div w:id="16949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taxreview.com/IssueArticle/3745642/Supplements/Russia.html?supplementListId=9827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entons.com/en/igor-schiko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ntons.com/en/boris-bruk" TargetMode="External"/><Relationship Id="rId5" Type="http://schemas.openxmlformats.org/officeDocument/2006/relationships/settings" Target="settings.xml"/><Relationship Id="rId15" Type="http://schemas.openxmlformats.org/officeDocument/2006/relationships/hyperlink" Target="http://www.dentons.com/" TargetMode="External"/><Relationship Id="rId23" Type="http://schemas.openxmlformats.org/officeDocument/2006/relationships/theme" Target="theme/theme1.xml"/><Relationship Id="rId10" Type="http://schemas.openxmlformats.org/officeDocument/2006/relationships/hyperlink" Target="https://www.dentons.com/en/dzhangar-dzhalchin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entons.com/en/dzhangar-dzhalchin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88722-5F0C-4143-B246-88EEFB45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2004-05-24T15:32:00Z</cp:lastPrinted>
  <dcterms:created xsi:type="dcterms:W3CDTF">2015-09-14T13:25:00Z</dcterms:created>
  <dcterms:modified xsi:type="dcterms:W3CDTF">2017-09-18T06:54:00Z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oFAAfyEHtdkN2VVueDTOW3Pquivsp80kCSf4qSrRuvWbTUQsceLSkVrJQXAI18jcpIbCucEuE7wuH69C
Kp8R5URWp9ofFWFzBBTUCZ+QoyBYBYB2L9sui2fExu1VPbysY6Jw0urOqslIVthCKp8R5URWp9of
FWFzBBTUCZ+QoyBYBYB2L9sui2fExg4DU7EmmQOybp9RdERFOkSOs4diYGfHhq+08ryRXbExRXsT
cePYbByTREbQiO1JD</vt:lpwstr>
  </property>
  <property fmtid="{D5CDD505-2E9C-101B-9397-08002B2CF9AE}" pid="3" name="MAIL_MSG_ID2">
    <vt:lpwstr>j1evAIHYJi3+0aKN04nCdEVN2nZ+fSWdmcApqWLorXi93zF755PVHwemuNB
K276BkKhScU2L6inpElg6P9wLHmPMaR/d9TlXbkT9AJeI4cB</vt:lpwstr>
  </property>
  <property fmtid="{D5CDD505-2E9C-101B-9397-08002B2CF9AE}" pid="4" name="RESPONSE_SENDER_NAME">
    <vt:lpwstr>sAAAb0xRtPDW5UvUpWY3eluy/Pb1oGzFVieQY+ej4ab5Q5I=</vt:lpwstr>
  </property>
  <property fmtid="{D5CDD505-2E9C-101B-9397-08002B2CF9AE}" pid="5" name="EMAIL_OWNER_ADDRESS">
    <vt:lpwstr>ABAAgoCixPcRe8lMqw4N7NxVHLZY+l3U4FN272ecsWh1tRl9XPX9+l9HMQtYMtP79cCR</vt:lpwstr>
  </property>
  <property fmtid="{D5CDD505-2E9C-101B-9397-08002B2CF9AE}" pid="6" name="ImanageFooterVariable">
    <vt:lpwstr>Moscow 5409507.1</vt:lpwstr>
  </property>
</Properties>
</file>