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4" w:type="pct"/>
        <w:tblLayout w:type="fixed"/>
        <w:tblCellMar>
          <w:left w:w="0" w:type="dxa"/>
          <w:right w:w="0" w:type="dxa"/>
        </w:tblCellMar>
        <w:tblLook w:val="04A0" w:firstRow="1" w:lastRow="0" w:firstColumn="1" w:lastColumn="0" w:noHBand="0" w:noVBand="1"/>
      </w:tblPr>
      <w:tblGrid>
        <w:gridCol w:w="6837"/>
        <w:gridCol w:w="2497"/>
      </w:tblGrid>
      <w:tr w:rsidR="0090728B" w:rsidRPr="00791DD6" w:rsidTr="00334259">
        <w:trPr>
          <w:cantSplit/>
          <w:trHeight w:val="1304"/>
        </w:trPr>
        <w:tc>
          <w:tcPr>
            <w:tcW w:w="6804" w:type="dxa"/>
          </w:tcPr>
          <w:p w:rsidR="0090728B" w:rsidRPr="00791DD6" w:rsidRDefault="0090728B" w:rsidP="00334259">
            <w:pPr>
              <w:rPr>
                <w:rFonts w:eastAsia="Arial" w:cs="Arial"/>
                <w:sz w:val="14"/>
                <w:szCs w:val="14"/>
              </w:rPr>
            </w:pPr>
            <w:r w:rsidRPr="00791DD6">
              <w:rPr>
                <w:noProof/>
              </w:rPr>
              <w:drawing>
                <wp:inline distT="0" distB="0" distL="0" distR="0">
                  <wp:extent cx="2057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33400"/>
                          </a:xfrm>
                          <a:prstGeom prst="rect">
                            <a:avLst/>
                          </a:prstGeom>
                          <a:noFill/>
                          <a:ln>
                            <a:noFill/>
                          </a:ln>
                        </pic:spPr>
                      </pic:pic>
                    </a:graphicData>
                  </a:graphic>
                </wp:inline>
              </w:drawing>
            </w:r>
          </w:p>
        </w:tc>
        <w:tc>
          <w:tcPr>
            <w:tcW w:w="2485" w:type="dxa"/>
          </w:tcPr>
          <w:p w:rsidR="0090728B" w:rsidRPr="00791DD6" w:rsidRDefault="0090728B" w:rsidP="00334259">
            <w:pPr>
              <w:tabs>
                <w:tab w:val="left" w:pos="288"/>
              </w:tabs>
              <w:rPr>
                <w:rFonts w:eastAsia="Arial"/>
              </w:rPr>
            </w:pPr>
          </w:p>
        </w:tc>
      </w:tr>
    </w:tbl>
    <w:p w:rsidR="0090728B" w:rsidRPr="00791DD6" w:rsidRDefault="00260AC9" w:rsidP="0090728B">
      <w:pPr>
        <w:pStyle w:val="BodyText"/>
        <w:suppressAutoHyphens/>
        <w:rPr>
          <w:lang w:val="en-US"/>
        </w:rPr>
      </w:pPr>
      <w:r w:rsidRPr="00791DD6">
        <w:rPr>
          <w:lang w:val="en-US"/>
        </w:rPr>
        <w:t>Press Release</w:t>
      </w:r>
    </w:p>
    <w:p w:rsidR="0090728B" w:rsidRPr="00791DD6" w:rsidRDefault="0090728B" w:rsidP="0090728B">
      <w:pPr>
        <w:jc w:val="center"/>
        <w:rPr>
          <w:rFonts w:ascii="Arial" w:hAnsi="Arial" w:cs="Arial"/>
          <w:b/>
          <w:bCs/>
          <w:sz w:val="32"/>
          <w:szCs w:val="32"/>
        </w:rPr>
      </w:pPr>
    </w:p>
    <w:p w:rsidR="00EB6DD7" w:rsidRPr="00EB6DD7" w:rsidRDefault="00EB6DD7" w:rsidP="00EB6DD7">
      <w:pPr>
        <w:jc w:val="center"/>
        <w:rPr>
          <w:rFonts w:ascii="Arial" w:hAnsi="Arial" w:cs="Arial"/>
          <w:b/>
          <w:sz w:val="28"/>
          <w:szCs w:val="28"/>
          <w:lang w:val="en"/>
        </w:rPr>
      </w:pPr>
      <w:r w:rsidRPr="00EB6DD7">
        <w:rPr>
          <w:rFonts w:ascii="Arial" w:hAnsi="Arial" w:cs="Arial"/>
          <w:b/>
          <w:sz w:val="28"/>
          <w:szCs w:val="28"/>
          <w:lang w:val="en"/>
        </w:rPr>
        <w:t>Dentons advises on first Iranian Petroleum Contract signed since relaxation of sanctions against Iran</w:t>
      </w:r>
    </w:p>
    <w:p w:rsidR="00EB6DD7" w:rsidRPr="00EB6DD7" w:rsidRDefault="00EB6DD7" w:rsidP="00EB6DD7">
      <w:pPr>
        <w:spacing w:before="100" w:beforeAutospacing="1" w:after="100" w:afterAutospacing="1" w:line="285" w:lineRule="atLeast"/>
        <w:jc w:val="center"/>
        <w:rPr>
          <w:rFonts w:ascii="Arial" w:hAnsi="Arial" w:cs="Arial"/>
          <w:i/>
          <w:lang w:val="en"/>
        </w:rPr>
      </w:pPr>
      <w:r w:rsidRPr="00EB6DD7">
        <w:rPr>
          <w:rFonts w:ascii="Arial" w:hAnsi="Arial" w:cs="Arial"/>
          <w:i/>
          <w:lang w:val="en"/>
        </w:rPr>
        <w:t>The Firm has advised Total on its development and production service contract to develop phase 11 of the giant South Pars gas field</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r>
        <w:rPr>
          <w:rFonts w:ascii="Arial" w:hAnsi="Arial" w:cs="Arial"/>
          <w:b/>
          <w:bCs/>
          <w:sz w:val="20"/>
          <w:szCs w:val="20"/>
          <w:lang w:val="en"/>
        </w:rPr>
        <w:t>July 2017</w:t>
      </w:r>
      <w:r w:rsidRPr="00EB6DD7">
        <w:rPr>
          <w:rFonts w:ascii="Arial" w:hAnsi="Arial" w:cs="Arial"/>
          <w:sz w:val="20"/>
          <w:szCs w:val="20"/>
          <w:lang w:val="en"/>
        </w:rPr>
        <w:t xml:space="preserve">—Dentons UKMEA LLP and Dentons Europe LLP are pleased to have advised Total on the signing of a 20-year development and production service contract with the National Iranian Oil Company (NIOC) for the development of phase 11 of South Pars, the world's largest natural gas field. The contract has been agreed within the framework of principles set out in the Iranian Petroleum Contract recently approved by the Iranian government and is the first such contract to be signed since sanctions against Iran were relaxed in 2016. </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r w:rsidRPr="00EB6DD7">
        <w:rPr>
          <w:rFonts w:ascii="Arial" w:hAnsi="Arial" w:cs="Arial"/>
          <w:sz w:val="20"/>
          <w:szCs w:val="20"/>
          <w:lang w:val="en"/>
        </w:rPr>
        <w:t xml:space="preserve">Under the terms of the agreement, Total will operate the South Pars project with a 50.1% interest alongside </w:t>
      </w:r>
      <w:proofErr w:type="spellStart"/>
      <w:r w:rsidRPr="00EB6DD7">
        <w:rPr>
          <w:rFonts w:ascii="Arial" w:hAnsi="Arial" w:cs="Arial"/>
          <w:sz w:val="20"/>
          <w:szCs w:val="20"/>
          <w:lang w:val="en"/>
        </w:rPr>
        <w:t>Petropars</w:t>
      </w:r>
      <w:proofErr w:type="spellEnd"/>
      <w:r w:rsidRPr="00EB6DD7">
        <w:rPr>
          <w:rFonts w:ascii="Arial" w:hAnsi="Arial" w:cs="Arial"/>
          <w:sz w:val="20"/>
          <w:szCs w:val="20"/>
          <w:lang w:val="en"/>
        </w:rPr>
        <w:t xml:space="preserve"> (19.9 per cent), a 100 per cent subsidiary of NIOC, and the Chinese state-owned oil and gas company CNPC (30 per cent). </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hyperlink r:id="rId8" w:history="1">
        <w:r w:rsidRPr="00EB6DD7">
          <w:rPr>
            <w:rStyle w:val="Hyperlink"/>
            <w:rFonts w:ascii="Arial" w:hAnsi="Arial" w:cs="Arial"/>
            <w:b/>
            <w:color w:val="auto"/>
            <w:sz w:val="20"/>
            <w:szCs w:val="20"/>
            <w:u w:val="none"/>
            <w:lang w:val="en"/>
          </w:rPr>
          <w:t>Alistair Black</w:t>
        </w:r>
      </w:hyperlink>
      <w:r w:rsidRPr="00EB6DD7">
        <w:rPr>
          <w:rFonts w:ascii="Arial" w:hAnsi="Arial" w:cs="Arial"/>
          <w:sz w:val="20"/>
          <w:szCs w:val="20"/>
          <w:lang w:val="en"/>
        </w:rPr>
        <w:t>, Energy partner at Dentons UKMEA, said, "This risk service contract is the first long-term contract for an upstream project signed since sanctions against Iran</w:t>
      </w:r>
      <w:bookmarkStart w:id="0" w:name="_GoBack"/>
      <w:bookmarkEnd w:id="0"/>
      <w:r w:rsidRPr="00EB6DD7">
        <w:rPr>
          <w:rFonts w:ascii="Arial" w:hAnsi="Arial" w:cs="Arial"/>
          <w:sz w:val="20"/>
          <w:szCs w:val="20"/>
          <w:lang w:val="en"/>
        </w:rPr>
        <w:t xml:space="preserve"> were relaxed last year. We are very pleased to see this deal </w:t>
      </w:r>
      <w:proofErr w:type="spellStart"/>
      <w:r w:rsidRPr="00EB6DD7">
        <w:rPr>
          <w:rFonts w:ascii="Arial" w:hAnsi="Arial" w:cs="Arial"/>
          <w:sz w:val="20"/>
          <w:szCs w:val="20"/>
          <w:lang w:val="en"/>
        </w:rPr>
        <w:t>finalised</w:t>
      </w:r>
      <w:proofErr w:type="spellEnd"/>
      <w:r w:rsidRPr="00EB6DD7">
        <w:rPr>
          <w:rFonts w:ascii="Arial" w:hAnsi="Arial" w:cs="Arial"/>
          <w:sz w:val="20"/>
          <w:szCs w:val="20"/>
          <w:lang w:val="en"/>
        </w:rPr>
        <w:t xml:space="preserve"> for Total and expect that it will serve as a benchmark for future development and production service contracts in Iran." </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r w:rsidRPr="00EB6DD7">
        <w:rPr>
          <w:rFonts w:ascii="Arial" w:hAnsi="Arial" w:cs="Arial"/>
          <w:sz w:val="20"/>
          <w:szCs w:val="20"/>
          <w:lang w:val="en"/>
        </w:rPr>
        <w:t xml:space="preserve">Dentons Europe Energy partner </w:t>
      </w:r>
      <w:hyperlink r:id="rId9" w:history="1">
        <w:r w:rsidRPr="00EB6DD7">
          <w:rPr>
            <w:rStyle w:val="Hyperlink"/>
            <w:rFonts w:ascii="Arial" w:hAnsi="Arial" w:cs="Arial"/>
            <w:b/>
            <w:color w:val="auto"/>
            <w:sz w:val="20"/>
            <w:szCs w:val="20"/>
            <w:u w:val="none"/>
            <w:lang w:val="en"/>
          </w:rPr>
          <w:t>Ramin Hariri</w:t>
        </w:r>
      </w:hyperlink>
      <w:r w:rsidRPr="00EB6DD7">
        <w:rPr>
          <w:rFonts w:ascii="Arial" w:hAnsi="Arial" w:cs="Arial"/>
          <w:b/>
          <w:sz w:val="20"/>
          <w:szCs w:val="20"/>
          <w:lang w:val="en"/>
        </w:rPr>
        <w:t xml:space="preserve"> </w:t>
      </w:r>
      <w:r w:rsidRPr="00EB6DD7">
        <w:rPr>
          <w:rFonts w:ascii="Arial" w:hAnsi="Arial" w:cs="Arial"/>
          <w:sz w:val="20"/>
          <w:szCs w:val="20"/>
          <w:lang w:val="en"/>
        </w:rPr>
        <w:t xml:space="preserve">added, "The new model contract offers more certainty to investors than the previous model, lasting for a period of 20 years and providing remuneration based on production instead of a percentage of the development costs." </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r w:rsidRPr="00EB6DD7">
        <w:rPr>
          <w:rFonts w:ascii="Arial" w:hAnsi="Arial" w:cs="Arial"/>
          <w:sz w:val="20"/>
          <w:szCs w:val="20"/>
          <w:lang w:val="en"/>
        </w:rPr>
        <w:t xml:space="preserve">The South Pars 11 project will have a production capacity of two billion cubic feet per day, or 400,000 barrels of oil equivalent per day. The produced gas will be fed into Iran's gas network. This latest move follows Total's successful development phases of 2 and 3 of South Pars in the 2000s. This project fits with Total’s strategy of expanding its presence in the Middle East and growing its gas portfolio by adding low unit cost, long plateau gas assets. </w:t>
      </w:r>
    </w:p>
    <w:p w:rsidR="00EB6DD7" w:rsidRPr="00EB6DD7" w:rsidRDefault="00EB6DD7" w:rsidP="00EB6DD7">
      <w:pPr>
        <w:spacing w:before="100" w:beforeAutospacing="1" w:after="100" w:afterAutospacing="1" w:line="285" w:lineRule="atLeast"/>
        <w:jc w:val="both"/>
        <w:rPr>
          <w:rFonts w:ascii="Arial" w:hAnsi="Arial" w:cs="Arial"/>
          <w:sz w:val="20"/>
          <w:szCs w:val="20"/>
          <w:lang w:val="en"/>
        </w:rPr>
      </w:pPr>
      <w:r w:rsidRPr="00EB6DD7">
        <w:rPr>
          <w:rFonts w:ascii="Arial" w:hAnsi="Arial" w:cs="Arial"/>
          <w:sz w:val="20"/>
          <w:szCs w:val="20"/>
          <w:lang w:val="en"/>
        </w:rPr>
        <w:t xml:space="preserve">The Dentons UKMEA and Dentons Europe team advising Total was led by Paris-based partner Ramin Hariri and London-based partner Alistair Black with support from partners </w:t>
      </w:r>
      <w:hyperlink r:id="rId10" w:history="1">
        <w:r w:rsidRPr="00EB6DD7">
          <w:rPr>
            <w:rStyle w:val="Hyperlink"/>
            <w:rFonts w:ascii="Arial" w:hAnsi="Arial" w:cs="Arial"/>
            <w:b/>
            <w:color w:val="auto"/>
            <w:sz w:val="20"/>
            <w:szCs w:val="20"/>
            <w:u w:val="none"/>
            <w:lang w:val="en"/>
          </w:rPr>
          <w:t>Charles Wood</w:t>
        </w:r>
      </w:hyperlink>
      <w:r w:rsidRPr="00EB6DD7">
        <w:rPr>
          <w:rFonts w:ascii="Arial" w:hAnsi="Arial" w:cs="Arial"/>
          <w:sz w:val="20"/>
          <w:szCs w:val="20"/>
          <w:lang w:val="en"/>
        </w:rPr>
        <w:t xml:space="preserve"> and </w:t>
      </w:r>
      <w:hyperlink r:id="rId11" w:history="1">
        <w:r w:rsidRPr="00EB6DD7">
          <w:rPr>
            <w:rStyle w:val="Hyperlink"/>
            <w:rFonts w:ascii="Arial" w:hAnsi="Arial" w:cs="Arial"/>
            <w:b/>
            <w:color w:val="auto"/>
            <w:sz w:val="20"/>
            <w:szCs w:val="20"/>
            <w:u w:val="none"/>
            <w:lang w:val="en"/>
          </w:rPr>
          <w:t>Andrew Cheung</w:t>
        </w:r>
      </w:hyperlink>
      <w:r w:rsidRPr="00EB6DD7">
        <w:rPr>
          <w:rFonts w:ascii="Arial" w:hAnsi="Arial" w:cs="Arial"/>
          <w:sz w:val="20"/>
          <w:szCs w:val="20"/>
          <w:lang w:val="en"/>
        </w:rPr>
        <w:t xml:space="preserve">, senior associate </w:t>
      </w:r>
      <w:hyperlink r:id="rId12" w:history="1">
        <w:r w:rsidRPr="00EB6DD7">
          <w:rPr>
            <w:rStyle w:val="Hyperlink"/>
            <w:rFonts w:ascii="Arial" w:hAnsi="Arial" w:cs="Arial"/>
            <w:b/>
            <w:color w:val="auto"/>
            <w:sz w:val="20"/>
            <w:szCs w:val="20"/>
            <w:u w:val="none"/>
            <w:lang w:val="en"/>
          </w:rPr>
          <w:t>Christopher Thomson</w:t>
        </w:r>
      </w:hyperlink>
      <w:r w:rsidRPr="00EB6DD7">
        <w:rPr>
          <w:rFonts w:ascii="Arial" w:hAnsi="Arial" w:cs="Arial"/>
          <w:sz w:val="20"/>
          <w:szCs w:val="20"/>
          <w:lang w:val="en"/>
        </w:rPr>
        <w:t xml:space="preserve">, and associates </w:t>
      </w:r>
      <w:hyperlink r:id="rId13" w:history="1">
        <w:r w:rsidRPr="00EB6DD7">
          <w:rPr>
            <w:rStyle w:val="Hyperlink"/>
            <w:rFonts w:ascii="Arial" w:hAnsi="Arial" w:cs="Arial"/>
            <w:b/>
            <w:color w:val="auto"/>
            <w:sz w:val="20"/>
            <w:szCs w:val="20"/>
            <w:u w:val="none"/>
            <w:lang w:val="en"/>
          </w:rPr>
          <w:t xml:space="preserve">Claudine </w:t>
        </w:r>
        <w:proofErr w:type="spellStart"/>
        <w:r w:rsidRPr="00EB6DD7">
          <w:rPr>
            <w:rStyle w:val="Hyperlink"/>
            <w:rFonts w:ascii="Arial" w:hAnsi="Arial" w:cs="Arial"/>
            <w:b/>
            <w:color w:val="auto"/>
            <w:sz w:val="20"/>
            <w:szCs w:val="20"/>
            <w:u w:val="none"/>
            <w:lang w:val="en"/>
          </w:rPr>
          <w:t>Raffray</w:t>
        </w:r>
        <w:proofErr w:type="spellEnd"/>
        <w:r w:rsidRPr="00EB6DD7">
          <w:rPr>
            <w:rStyle w:val="Hyperlink"/>
            <w:rFonts w:ascii="Arial" w:hAnsi="Arial" w:cs="Arial"/>
            <w:color w:val="auto"/>
            <w:sz w:val="20"/>
            <w:szCs w:val="20"/>
            <w:u w:val="none"/>
            <w:lang w:val="en"/>
          </w:rPr>
          <w:t xml:space="preserve"> </w:t>
        </w:r>
      </w:hyperlink>
      <w:r w:rsidRPr="00EB6DD7">
        <w:rPr>
          <w:rFonts w:ascii="Arial" w:hAnsi="Arial" w:cs="Arial"/>
          <w:sz w:val="20"/>
          <w:szCs w:val="20"/>
          <w:lang w:val="en"/>
        </w:rPr>
        <w:t xml:space="preserve">and </w:t>
      </w:r>
      <w:hyperlink r:id="rId14" w:history="1">
        <w:r w:rsidRPr="00EB6DD7">
          <w:rPr>
            <w:rStyle w:val="Hyperlink"/>
            <w:rFonts w:ascii="Arial" w:hAnsi="Arial" w:cs="Arial"/>
            <w:b/>
            <w:color w:val="auto"/>
            <w:sz w:val="20"/>
            <w:szCs w:val="20"/>
            <w:u w:val="none"/>
            <w:lang w:val="en"/>
          </w:rPr>
          <w:t xml:space="preserve">Liam </w:t>
        </w:r>
        <w:proofErr w:type="spellStart"/>
        <w:r w:rsidRPr="00EB6DD7">
          <w:rPr>
            <w:rStyle w:val="Hyperlink"/>
            <w:rFonts w:ascii="Arial" w:hAnsi="Arial" w:cs="Arial"/>
            <w:b/>
            <w:color w:val="auto"/>
            <w:sz w:val="20"/>
            <w:szCs w:val="20"/>
            <w:u w:val="none"/>
            <w:lang w:val="en"/>
          </w:rPr>
          <w:t>O'Flynn</w:t>
        </w:r>
        <w:proofErr w:type="spellEnd"/>
      </w:hyperlink>
      <w:r w:rsidRPr="00EB6DD7">
        <w:rPr>
          <w:rFonts w:ascii="Arial" w:hAnsi="Arial" w:cs="Arial"/>
          <w:sz w:val="20"/>
          <w:szCs w:val="20"/>
          <w:lang w:val="en"/>
        </w:rPr>
        <w:t xml:space="preserve">, all based in London. Partners </w:t>
      </w:r>
      <w:hyperlink r:id="rId15" w:history="1">
        <w:r w:rsidRPr="00EB6DD7">
          <w:rPr>
            <w:rStyle w:val="Hyperlink"/>
            <w:rFonts w:ascii="Arial" w:hAnsi="Arial" w:cs="Arial"/>
            <w:b/>
            <w:color w:val="auto"/>
            <w:sz w:val="20"/>
            <w:szCs w:val="20"/>
            <w:u w:val="none"/>
            <w:lang w:val="en"/>
          </w:rPr>
          <w:t xml:space="preserve">Jean-Christophe </w:t>
        </w:r>
        <w:proofErr w:type="spellStart"/>
        <w:r w:rsidRPr="00EB6DD7">
          <w:rPr>
            <w:rStyle w:val="Hyperlink"/>
            <w:rFonts w:ascii="Arial" w:hAnsi="Arial" w:cs="Arial"/>
            <w:b/>
            <w:color w:val="auto"/>
            <w:sz w:val="20"/>
            <w:szCs w:val="20"/>
            <w:u w:val="none"/>
            <w:lang w:val="en"/>
          </w:rPr>
          <w:t>Honlet</w:t>
        </w:r>
        <w:proofErr w:type="spellEnd"/>
      </w:hyperlink>
      <w:r w:rsidRPr="00EB6DD7">
        <w:rPr>
          <w:rFonts w:ascii="Arial" w:hAnsi="Arial" w:cs="Arial"/>
          <w:sz w:val="20"/>
          <w:szCs w:val="20"/>
          <w:lang w:val="en"/>
        </w:rPr>
        <w:t xml:space="preserve"> and </w:t>
      </w:r>
      <w:hyperlink r:id="rId16" w:history="1">
        <w:r w:rsidRPr="00EB6DD7">
          <w:rPr>
            <w:rStyle w:val="Hyperlink"/>
            <w:rFonts w:ascii="Arial" w:hAnsi="Arial" w:cs="Arial"/>
            <w:b/>
            <w:color w:val="auto"/>
            <w:sz w:val="20"/>
            <w:szCs w:val="20"/>
            <w:u w:val="none"/>
            <w:lang w:val="en"/>
          </w:rPr>
          <w:t>Vincent Lacombe</w:t>
        </w:r>
      </w:hyperlink>
      <w:r w:rsidRPr="00EB6DD7">
        <w:rPr>
          <w:rFonts w:ascii="Arial" w:hAnsi="Arial" w:cs="Arial"/>
          <w:sz w:val="20"/>
          <w:szCs w:val="20"/>
          <w:lang w:val="en"/>
        </w:rPr>
        <w:t xml:space="preserve"> in Paris also advised, and from APP (in association with Dentons Europe LLP) in Tehran, </w:t>
      </w:r>
      <w:proofErr w:type="spellStart"/>
      <w:r w:rsidRPr="00EB6DD7">
        <w:rPr>
          <w:rFonts w:ascii="Arial" w:hAnsi="Arial" w:cs="Arial"/>
          <w:b/>
          <w:sz w:val="20"/>
          <w:szCs w:val="20"/>
          <w:lang w:val="en"/>
        </w:rPr>
        <w:t>Navid</w:t>
      </w:r>
      <w:proofErr w:type="spellEnd"/>
      <w:r w:rsidRPr="00EB6DD7">
        <w:rPr>
          <w:rFonts w:ascii="Arial" w:hAnsi="Arial" w:cs="Arial"/>
          <w:b/>
          <w:sz w:val="20"/>
          <w:szCs w:val="20"/>
          <w:lang w:val="en"/>
        </w:rPr>
        <w:t xml:space="preserve"> Sato</w:t>
      </w:r>
      <w:r w:rsidRPr="00EB6DD7">
        <w:rPr>
          <w:rFonts w:ascii="Arial" w:hAnsi="Arial" w:cs="Arial"/>
          <w:sz w:val="20"/>
          <w:szCs w:val="20"/>
          <w:lang w:val="en"/>
        </w:rPr>
        <w:t xml:space="preserve">, </w:t>
      </w:r>
      <w:proofErr w:type="spellStart"/>
      <w:r w:rsidRPr="00EB6DD7">
        <w:rPr>
          <w:rFonts w:ascii="Arial" w:hAnsi="Arial" w:cs="Arial"/>
          <w:b/>
          <w:sz w:val="20"/>
          <w:szCs w:val="20"/>
          <w:lang w:val="en"/>
        </w:rPr>
        <w:t>Nima</w:t>
      </w:r>
      <w:proofErr w:type="spellEnd"/>
      <w:r w:rsidRPr="00EB6DD7">
        <w:rPr>
          <w:rFonts w:ascii="Arial" w:hAnsi="Arial" w:cs="Arial"/>
          <w:b/>
          <w:sz w:val="20"/>
          <w:szCs w:val="20"/>
          <w:lang w:val="en"/>
        </w:rPr>
        <w:t xml:space="preserve"> </w:t>
      </w:r>
      <w:proofErr w:type="spellStart"/>
      <w:r w:rsidRPr="00EB6DD7">
        <w:rPr>
          <w:rFonts w:ascii="Arial" w:hAnsi="Arial" w:cs="Arial"/>
          <w:b/>
          <w:sz w:val="20"/>
          <w:szCs w:val="20"/>
          <w:lang w:val="en"/>
        </w:rPr>
        <w:t>Nasrollahi</w:t>
      </w:r>
      <w:proofErr w:type="spellEnd"/>
      <w:r w:rsidRPr="00EB6DD7">
        <w:rPr>
          <w:rFonts w:ascii="Arial" w:hAnsi="Arial" w:cs="Arial"/>
          <w:sz w:val="20"/>
          <w:szCs w:val="20"/>
          <w:lang w:val="en"/>
        </w:rPr>
        <w:t xml:space="preserve"> and </w:t>
      </w:r>
      <w:proofErr w:type="spellStart"/>
      <w:r w:rsidRPr="00EB6DD7">
        <w:rPr>
          <w:rFonts w:ascii="Arial" w:hAnsi="Arial" w:cs="Arial"/>
          <w:b/>
          <w:sz w:val="20"/>
          <w:szCs w:val="20"/>
          <w:lang w:val="en"/>
        </w:rPr>
        <w:t>Arash</w:t>
      </w:r>
      <w:proofErr w:type="spellEnd"/>
      <w:r w:rsidRPr="00EB6DD7">
        <w:rPr>
          <w:rFonts w:ascii="Arial" w:hAnsi="Arial" w:cs="Arial"/>
          <w:b/>
          <w:sz w:val="20"/>
          <w:szCs w:val="20"/>
          <w:lang w:val="en"/>
        </w:rPr>
        <w:t xml:space="preserve"> </w:t>
      </w:r>
      <w:proofErr w:type="spellStart"/>
      <w:r w:rsidRPr="00EB6DD7">
        <w:rPr>
          <w:rFonts w:ascii="Arial" w:hAnsi="Arial" w:cs="Arial"/>
          <w:b/>
          <w:sz w:val="20"/>
          <w:szCs w:val="20"/>
          <w:lang w:val="en"/>
        </w:rPr>
        <w:t>Shahrokhy</w:t>
      </w:r>
      <w:proofErr w:type="spellEnd"/>
      <w:r w:rsidRPr="00EB6DD7">
        <w:rPr>
          <w:rFonts w:ascii="Arial" w:hAnsi="Arial" w:cs="Arial"/>
          <w:sz w:val="20"/>
          <w:szCs w:val="20"/>
          <w:lang w:val="en"/>
        </w:rPr>
        <w:t>.</w:t>
      </w:r>
    </w:p>
    <w:p w:rsidR="00EB6DD7" w:rsidRDefault="00EB6DD7" w:rsidP="00EB6DD7">
      <w:pPr>
        <w:rPr>
          <w:rFonts w:ascii="Arial" w:hAnsi="Arial" w:cs="Arial"/>
          <w:color w:val="000000"/>
          <w:sz w:val="20"/>
          <w:szCs w:val="20"/>
          <w:lang w:val="en"/>
        </w:rPr>
      </w:pPr>
    </w:p>
    <w:p w:rsidR="00714478" w:rsidRPr="00EB6DD7" w:rsidRDefault="00714478" w:rsidP="00714478">
      <w:pPr>
        <w:tabs>
          <w:tab w:val="left" w:pos="851"/>
        </w:tabs>
        <w:jc w:val="both"/>
        <w:rPr>
          <w:rFonts w:ascii="Arial" w:hAnsi="Arial" w:cs="Arial"/>
          <w:lang w:val="en"/>
        </w:rPr>
      </w:pPr>
    </w:p>
    <w:p w:rsidR="00865B20" w:rsidRPr="00865B20" w:rsidRDefault="00865B20" w:rsidP="00865B20">
      <w:pPr>
        <w:spacing w:line="23" w:lineRule="atLeast"/>
        <w:rPr>
          <w:rFonts w:ascii="Arial" w:hAnsi="Arial" w:cs="Arial"/>
          <w:b/>
          <w:color w:val="000000"/>
          <w:sz w:val="20"/>
          <w:szCs w:val="20"/>
        </w:rPr>
      </w:pPr>
      <w:r w:rsidRPr="00865B20">
        <w:rPr>
          <w:rFonts w:ascii="Arial" w:hAnsi="Arial" w:cs="Arial"/>
          <w:b/>
          <w:color w:val="000000"/>
          <w:sz w:val="20"/>
          <w:szCs w:val="20"/>
        </w:rPr>
        <w:lastRenderedPageBreak/>
        <w:t>About Dentons</w:t>
      </w:r>
    </w:p>
    <w:p w:rsidR="00865B20" w:rsidRPr="00865B20" w:rsidRDefault="00865B20" w:rsidP="00865B20">
      <w:pPr>
        <w:jc w:val="both"/>
        <w:rPr>
          <w:rFonts w:ascii="Arial" w:hAnsi="Arial" w:cs="Arial"/>
          <w:sz w:val="20"/>
          <w:szCs w:val="20"/>
        </w:rPr>
      </w:pPr>
      <w:r w:rsidRPr="00865B20">
        <w:rPr>
          <w:rFonts w:ascii="Arial" w:hAnsi="Arial" w:cs="Arial"/>
          <w:sz w:val="20"/>
          <w:szCs w:val="20"/>
        </w:rPr>
        <w:t xml:space="preserve">Dentons is the world's largest law firm*, delivering quality and value to clients around the globe. Dentons is a leader on the </w:t>
      </w:r>
      <w:proofErr w:type="spellStart"/>
      <w:r w:rsidRPr="00865B20">
        <w:rPr>
          <w:rFonts w:ascii="Arial" w:hAnsi="Arial" w:cs="Arial"/>
          <w:sz w:val="20"/>
          <w:szCs w:val="20"/>
        </w:rPr>
        <w:t>Acritas</w:t>
      </w:r>
      <w:proofErr w:type="spellEnd"/>
      <w:r w:rsidRPr="00865B20">
        <w:rPr>
          <w:rFonts w:ascii="Arial" w:hAnsi="Arial" w:cs="Arial"/>
          <w:sz w:val="20"/>
          <w:szCs w:val="20"/>
        </w:rPr>
        <w:t xml:space="preserve"> Global Elite Brand Index, a BTI Client Service 30 Award winner and recognized by prominent business and legal publications for its innovations in client service, including founding </w:t>
      </w:r>
      <w:proofErr w:type="spellStart"/>
      <w:r w:rsidRPr="00865B20">
        <w:rPr>
          <w:rFonts w:ascii="Arial" w:hAnsi="Arial" w:cs="Arial"/>
          <w:sz w:val="20"/>
          <w:szCs w:val="20"/>
        </w:rPr>
        <w:t>Nextlaw</w:t>
      </w:r>
      <w:proofErr w:type="spellEnd"/>
      <w:r w:rsidRPr="00865B20">
        <w:rPr>
          <w:rFonts w:ascii="Arial" w:hAnsi="Arial" w:cs="Arial"/>
          <w:sz w:val="20"/>
          <w:szCs w:val="20"/>
        </w:rPr>
        <w:t xml:space="preserve"> Labs and the </w:t>
      </w:r>
      <w:proofErr w:type="spellStart"/>
      <w:r w:rsidRPr="00865B20">
        <w:rPr>
          <w:rFonts w:ascii="Arial" w:hAnsi="Arial" w:cs="Arial"/>
          <w:sz w:val="20"/>
          <w:szCs w:val="20"/>
        </w:rPr>
        <w:t>Nextlaw</w:t>
      </w:r>
      <w:proofErr w:type="spellEnd"/>
      <w:r w:rsidRPr="00865B20">
        <w:rPr>
          <w:rFonts w:ascii="Arial" w:hAnsi="Arial" w:cs="Arial"/>
          <w:sz w:val="20"/>
          <w:szCs w:val="20"/>
        </w:rPr>
        <w:t xml:space="preserve"> Global Referral Network. Dentons' polycentric approach and world-class talent challenge the status quo to advance client interests in the communities in which we live and work.  </w:t>
      </w:r>
      <w:hyperlink r:id="rId17" w:history="1">
        <w:r w:rsidRPr="00865B20">
          <w:rPr>
            <w:rStyle w:val="Hyperlink"/>
            <w:rFonts w:ascii="Arial" w:hAnsi="Arial" w:cs="Arial"/>
            <w:sz w:val="20"/>
            <w:szCs w:val="20"/>
          </w:rPr>
          <w:t>www.dentons.com</w:t>
        </w:r>
      </w:hyperlink>
    </w:p>
    <w:p w:rsidR="00865B20" w:rsidRPr="00865B20" w:rsidRDefault="00865B20" w:rsidP="00865B20">
      <w:pPr>
        <w:jc w:val="both"/>
        <w:rPr>
          <w:rFonts w:ascii="Arial" w:hAnsi="Arial" w:cs="Arial"/>
          <w:color w:val="000000"/>
          <w:sz w:val="20"/>
          <w:szCs w:val="20"/>
        </w:rPr>
      </w:pPr>
    </w:p>
    <w:p w:rsidR="00865B20" w:rsidRPr="00865B20" w:rsidRDefault="00865B20" w:rsidP="00865B20">
      <w:pPr>
        <w:jc w:val="both"/>
        <w:rPr>
          <w:rFonts w:ascii="Arial" w:hAnsi="Arial" w:cs="Arial"/>
          <w:color w:val="000000"/>
          <w:sz w:val="20"/>
          <w:szCs w:val="20"/>
        </w:rPr>
      </w:pPr>
      <w:r w:rsidRPr="00865B20">
        <w:rPr>
          <w:rFonts w:ascii="Arial" w:hAnsi="Arial" w:cs="Arial"/>
          <w:color w:val="000000"/>
          <w:sz w:val="20"/>
          <w:szCs w:val="20"/>
        </w:rPr>
        <w:t>* 2016 The American Lawyer – Global 100 law firm ranking by number of lawyers.</w:t>
      </w:r>
    </w:p>
    <w:p w:rsidR="00D42355" w:rsidRPr="00791DD6" w:rsidRDefault="00D42355" w:rsidP="00F87C91">
      <w:pPr>
        <w:pStyle w:val="BodyText"/>
        <w:spacing w:after="120"/>
        <w:jc w:val="both"/>
        <w:rPr>
          <w:rFonts w:cs="Arial"/>
          <w:b/>
          <w:sz w:val="22"/>
          <w:szCs w:val="22"/>
          <w:lang w:val="en-US"/>
        </w:rPr>
      </w:pPr>
    </w:p>
    <w:p w:rsidR="00D42355" w:rsidRPr="00791DD6" w:rsidRDefault="00D42355" w:rsidP="00D42355">
      <w:pPr>
        <w:jc w:val="both"/>
      </w:pPr>
    </w:p>
    <w:p w:rsidR="007F56B8" w:rsidRPr="00791DD6" w:rsidRDefault="007F56B8">
      <w:pPr>
        <w:rPr>
          <w:rFonts w:ascii="Arial" w:hAnsi="Arial" w:cs="Arial"/>
          <w:sz w:val="20"/>
          <w:szCs w:val="20"/>
        </w:rPr>
      </w:pPr>
    </w:p>
    <w:sectPr w:rsidR="007F56B8" w:rsidRPr="00791DD6" w:rsidSect="00EB6DD7">
      <w:headerReference w:type="even" r:id="rId18"/>
      <w:headerReference w:type="default" r:id="rId19"/>
      <w:footerReference w:type="even" r:id="rId20"/>
      <w:footerReference w:type="default" r:id="rId21"/>
      <w:headerReference w:type="first" r:id="rId22"/>
      <w:footerReference w:type="first" r:id="rId23"/>
      <w:pgSz w:w="11907" w:h="16839" w:code="9"/>
      <w:pgMar w:top="1417" w:right="1417" w:bottom="1417" w:left="1417" w:header="708" w:footer="5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B59" w:rsidRDefault="00484B59" w:rsidP="00D42355">
      <w:r>
        <w:separator/>
      </w:r>
    </w:p>
  </w:endnote>
  <w:endnote w:type="continuationSeparator" w:id="0">
    <w:p w:rsidR="00484B59" w:rsidRDefault="00484B59" w:rsidP="00D4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AB" w:rsidRDefault="007A0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355" w:rsidRDefault="00D42355">
    <w:pPr>
      <w:pStyle w:val="Footer"/>
    </w:pPr>
  </w:p>
  <w:p w:rsidR="00D42355" w:rsidRDefault="00C453C4">
    <w:pPr>
      <w:pStyle w:val="Footer"/>
      <w:rPr>
        <w:rFonts w:ascii="Verdana" w:hAnsi="Verdana"/>
        <w:sz w:val="16"/>
      </w:rPr>
    </w:pPr>
    <w:r>
      <w:rPr>
        <w:rFonts w:ascii="Verdana" w:hAnsi="Verdana"/>
        <w:sz w:val="16"/>
      </w:rPr>
      <w:t>Moscow 5393080.1</w:t>
    </w:r>
  </w:p>
  <w:p w:rsidR="007A0BAB" w:rsidRDefault="007A0BAB">
    <w:pPr>
      <w:pStyle w:val="Footer"/>
    </w:pPr>
    <w:r>
      <w:fldChar w:fldCharType="begin"/>
    </w:r>
    <w:r w:rsidRPr="007A0BAB">
      <w:rPr>
        <w:rFonts w:ascii="Verdana" w:hAnsi="Verdana"/>
        <w:sz w:val="16"/>
      </w:rPr>
      <w:instrText xml:space="preserve"> DOCPROPERTY ImanageFooterVariable </w:instrText>
    </w:r>
    <w:r>
      <w:fldChar w:fldCharType="separate"/>
    </w:r>
    <w:r w:rsidR="00EB6DD7">
      <w:rPr>
        <w:rFonts w:ascii="Verdana" w:hAnsi="Verdana"/>
        <w:sz w:val="16"/>
      </w:rPr>
      <w:t>Moscow 5398891.1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AB" w:rsidRDefault="007A0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B59" w:rsidRDefault="00484B59" w:rsidP="00D42355">
      <w:r>
        <w:separator/>
      </w:r>
    </w:p>
  </w:footnote>
  <w:footnote w:type="continuationSeparator" w:id="0">
    <w:p w:rsidR="00484B59" w:rsidRDefault="00484B59" w:rsidP="00D42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AB" w:rsidRDefault="007A0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AB" w:rsidRDefault="007A0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AB" w:rsidRDefault="007A0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EE0330"/>
    <w:rsid w:val="00021350"/>
    <w:rsid w:val="00080EF6"/>
    <w:rsid w:val="000B67EC"/>
    <w:rsid w:val="000C67FF"/>
    <w:rsid w:val="000F0B5A"/>
    <w:rsid w:val="0012036C"/>
    <w:rsid w:val="00137516"/>
    <w:rsid w:val="002169E1"/>
    <w:rsid w:val="002403FF"/>
    <w:rsid w:val="00260AC9"/>
    <w:rsid w:val="002A2209"/>
    <w:rsid w:val="002D5491"/>
    <w:rsid w:val="002F6B5F"/>
    <w:rsid w:val="00335523"/>
    <w:rsid w:val="003714BA"/>
    <w:rsid w:val="003A1794"/>
    <w:rsid w:val="00484B59"/>
    <w:rsid w:val="004B49BA"/>
    <w:rsid w:val="004C1ECF"/>
    <w:rsid w:val="004F5D94"/>
    <w:rsid w:val="00596CE2"/>
    <w:rsid w:val="005A495E"/>
    <w:rsid w:val="005B6DC2"/>
    <w:rsid w:val="005F0961"/>
    <w:rsid w:val="00664528"/>
    <w:rsid w:val="006F6499"/>
    <w:rsid w:val="00714478"/>
    <w:rsid w:val="00743402"/>
    <w:rsid w:val="00744B5E"/>
    <w:rsid w:val="00746A05"/>
    <w:rsid w:val="00775404"/>
    <w:rsid w:val="00790A3F"/>
    <w:rsid w:val="00791DD6"/>
    <w:rsid w:val="007A0BAB"/>
    <w:rsid w:val="007F56B8"/>
    <w:rsid w:val="008358FB"/>
    <w:rsid w:val="00865B20"/>
    <w:rsid w:val="0090728B"/>
    <w:rsid w:val="00927E5E"/>
    <w:rsid w:val="00951C7D"/>
    <w:rsid w:val="00A361A4"/>
    <w:rsid w:val="00A7013E"/>
    <w:rsid w:val="00B64F31"/>
    <w:rsid w:val="00B81796"/>
    <w:rsid w:val="00C23ADE"/>
    <w:rsid w:val="00C453C4"/>
    <w:rsid w:val="00C52ED2"/>
    <w:rsid w:val="00D200E1"/>
    <w:rsid w:val="00D42355"/>
    <w:rsid w:val="00DA18D7"/>
    <w:rsid w:val="00DE0768"/>
    <w:rsid w:val="00E40E2F"/>
    <w:rsid w:val="00E43131"/>
    <w:rsid w:val="00EB6DD7"/>
    <w:rsid w:val="00ED49B9"/>
    <w:rsid w:val="00EE0330"/>
    <w:rsid w:val="00EE2C72"/>
    <w:rsid w:val="00F0155B"/>
    <w:rsid w:val="00F265D5"/>
    <w:rsid w:val="00F33416"/>
    <w:rsid w:val="00F45FAD"/>
    <w:rsid w:val="00F87C91"/>
    <w:rsid w:val="00FA7ACB"/>
    <w:rsid w:val="00FC42FF"/>
    <w:rsid w:val="00FC566C"/>
    <w:rsid w:val="00FD7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5D5"/>
    <w:rPr>
      <w:rFonts w:ascii="Tahoma" w:hAnsi="Tahoma" w:cs="Tahoma"/>
      <w:sz w:val="16"/>
      <w:szCs w:val="16"/>
    </w:rPr>
  </w:style>
  <w:style w:type="character" w:customStyle="1" w:styleId="BalloonTextChar">
    <w:name w:val="Balloon Text Char"/>
    <w:basedOn w:val="DefaultParagraphFont"/>
    <w:link w:val="BalloonText"/>
    <w:uiPriority w:val="99"/>
    <w:semiHidden/>
    <w:rsid w:val="00F265D5"/>
    <w:rPr>
      <w:rFonts w:ascii="Tahoma" w:eastAsia="Calibri" w:hAnsi="Tahoma" w:cs="Tahoma"/>
      <w:sz w:val="16"/>
      <w:szCs w:val="16"/>
    </w:rPr>
  </w:style>
  <w:style w:type="paragraph" w:styleId="Header">
    <w:name w:val="header"/>
    <w:basedOn w:val="Normal"/>
    <w:link w:val="HeaderChar"/>
    <w:uiPriority w:val="99"/>
    <w:unhideWhenUsed/>
    <w:rsid w:val="00D42355"/>
    <w:pPr>
      <w:tabs>
        <w:tab w:val="center" w:pos="4844"/>
        <w:tab w:val="right" w:pos="9689"/>
      </w:tabs>
    </w:pPr>
  </w:style>
  <w:style w:type="character" w:customStyle="1" w:styleId="HeaderChar">
    <w:name w:val="Header Char"/>
    <w:basedOn w:val="DefaultParagraphFont"/>
    <w:link w:val="Header"/>
    <w:uiPriority w:val="99"/>
    <w:rsid w:val="00D42355"/>
    <w:rPr>
      <w:rFonts w:ascii="Calibri" w:eastAsia="Calibri" w:hAnsi="Calibri" w:cs="Times New Roman"/>
    </w:rPr>
  </w:style>
  <w:style w:type="paragraph" w:styleId="Footer">
    <w:name w:val="footer"/>
    <w:basedOn w:val="Normal"/>
    <w:link w:val="FooterChar"/>
    <w:uiPriority w:val="99"/>
    <w:unhideWhenUsed/>
    <w:rsid w:val="00D42355"/>
    <w:pPr>
      <w:tabs>
        <w:tab w:val="center" w:pos="4844"/>
        <w:tab w:val="right" w:pos="9689"/>
      </w:tabs>
    </w:pPr>
  </w:style>
  <w:style w:type="character" w:customStyle="1" w:styleId="FooterChar">
    <w:name w:val="Footer Char"/>
    <w:basedOn w:val="DefaultParagraphFont"/>
    <w:link w:val="Footer"/>
    <w:uiPriority w:val="99"/>
    <w:rsid w:val="00D42355"/>
    <w:rPr>
      <w:rFonts w:ascii="Calibri" w:eastAsia="Calibri" w:hAnsi="Calibri" w:cs="Times New Roman"/>
    </w:rPr>
  </w:style>
  <w:style w:type="paragraph" w:styleId="BodyText">
    <w:name w:val="Body Text"/>
    <w:basedOn w:val="Normal"/>
    <w:link w:val="BodyTextChar"/>
    <w:rsid w:val="00D42355"/>
    <w:pPr>
      <w:spacing w:after="240" w:line="276" w:lineRule="auto"/>
    </w:pPr>
    <w:rPr>
      <w:rFonts w:ascii="Arial" w:eastAsia="Times New Roman" w:hAnsi="Arial" w:cs="Arabic Transparent"/>
      <w:sz w:val="20"/>
      <w:szCs w:val="24"/>
      <w:lang w:val="en-GB"/>
    </w:rPr>
  </w:style>
  <w:style w:type="character" w:customStyle="1" w:styleId="BodyTextChar">
    <w:name w:val="Body Text Char"/>
    <w:basedOn w:val="DefaultParagraphFont"/>
    <w:link w:val="BodyText"/>
    <w:rsid w:val="00D42355"/>
    <w:rPr>
      <w:rFonts w:ascii="Arial" w:eastAsia="Times New Roman" w:hAnsi="Arial" w:cs="Arabic Transparent"/>
      <w:sz w:val="20"/>
      <w:szCs w:val="24"/>
      <w:lang w:val="en-GB"/>
    </w:rPr>
  </w:style>
  <w:style w:type="character" w:styleId="Hyperlink">
    <w:name w:val="Hyperlink"/>
    <w:uiPriority w:val="99"/>
    <w:rsid w:val="00D42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3930">
      <w:bodyDiv w:val="1"/>
      <w:marLeft w:val="0"/>
      <w:marRight w:val="0"/>
      <w:marTop w:val="0"/>
      <w:marBottom w:val="0"/>
      <w:divBdr>
        <w:top w:val="none" w:sz="0" w:space="0" w:color="auto"/>
        <w:left w:val="none" w:sz="0" w:space="0" w:color="auto"/>
        <w:bottom w:val="none" w:sz="0" w:space="0" w:color="auto"/>
        <w:right w:val="none" w:sz="0" w:space="0" w:color="auto"/>
      </w:divBdr>
    </w:div>
    <w:div w:id="262424442">
      <w:bodyDiv w:val="1"/>
      <w:marLeft w:val="0"/>
      <w:marRight w:val="0"/>
      <w:marTop w:val="0"/>
      <w:marBottom w:val="0"/>
      <w:divBdr>
        <w:top w:val="none" w:sz="0" w:space="0" w:color="auto"/>
        <w:left w:val="none" w:sz="0" w:space="0" w:color="auto"/>
        <w:bottom w:val="none" w:sz="0" w:space="0" w:color="auto"/>
        <w:right w:val="none" w:sz="0" w:space="0" w:color="auto"/>
      </w:divBdr>
    </w:div>
    <w:div w:id="280771176">
      <w:bodyDiv w:val="1"/>
      <w:marLeft w:val="0"/>
      <w:marRight w:val="0"/>
      <w:marTop w:val="0"/>
      <w:marBottom w:val="0"/>
      <w:divBdr>
        <w:top w:val="none" w:sz="0" w:space="0" w:color="auto"/>
        <w:left w:val="none" w:sz="0" w:space="0" w:color="auto"/>
        <w:bottom w:val="none" w:sz="0" w:space="0" w:color="auto"/>
        <w:right w:val="none" w:sz="0" w:space="0" w:color="auto"/>
      </w:divBdr>
    </w:div>
    <w:div w:id="113594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ntons.com/en/alistair-black" TargetMode="External"/><Relationship Id="rId13" Type="http://schemas.openxmlformats.org/officeDocument/2006/relationships/hyperlink" Target="https://www.dentons.com/en/claudine-raffra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dentons.com/en/christopher-thomson" TargetMode="External"/><Relationship Id="rId17" Type="http://schemas.openxmlformats.org/officeDocument/2006/relationships/hyperlink" Target="http://www.dentons.co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dentons.com/en/vincent-lacomb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entons.com/en/andrew-cheun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entons.com/en/jeanchristophe-honlet" TargetMode="External"/><Relationship Id="rId23" Type="http://schemas.openxmlformats.org/officeDocument/2006/relationships/footer" Target="footer3.xml"/><Relationship Id="rId10" Type="http://schemas.openxmlformats.org/officeDocument/2006/relationships/hyperlink" Target="https://www.dentons.com/en/charles-woo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entons.com/en/ramin-hariri" TargetMode="External"/><Relationship Id="rId14" Type="http://schemas.openxmlformats.org/officeDocument/2006/relationships/hyperlink" Target="https://www.dentons.com/en/liam-o'flynn"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571</Words>
  <Characters>3256</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Svetlana Demicheva</cp:lastModifiedBy>
  <cp:revision>16</cp:revision>
  <cp:lastPrinted>2017-05-31T14:53:00Z</cp:lastPrinted>
  <dcterms:created xsi:type="dcterms:W3CDTF">2017-05-31T14:23:00Z</dcterms:created>
  <dcterms:modified xsi:type="dcterms:W3CDTF">2017-07-07T13:03:00Z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Variable">
    <vt:lpwstr>Moscow 5398891.1</vt:lpwstr>
  </property>
</Properties>
</file>