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9802"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211"/>
        <w:gridCol w:w="2263"/>
        <w:gridCol w:w="474"/>
      </w:tblGrid>
      <w:tr w:rsidR="00F251DC" w:rsidRPr="00FF0686" w:rsidTr="009050BA">
        <w:trPr>
          <w:gridAfter w:val="1"/>
          <w:wAfter w:w="474" w:type="dxa"/>
          <w:trHeight w:hRule="exact" w:val="576"/>
        </w:trPr>
        <w:tc>
          <w:tcPr>
            <w:tcW w:w="9328" w:type="dxa"/>
            <w:gridSpan w:val="3"/>
            <w:tcMar>
              <w:left w:w="0" w:type="dxa"/>
              <w:right w:w="0" w:type="dxa"/>
            </w:tcMar>
          </w:tcPr>
          <w:p w:rsidR="00F251DC" w:rsidRPr="00FF0686" w:rsidRDefault="00F251DC" w:rsidP="009050BA">
            <w:pPr>
              <w:suppressAutoHyphens/>
              <w:rPr>
                <w:spacing w:val="-4"/>
                <w:kern w:val="12"/>
                <w:sz w:val="36"/>
              </w:rPr>
            </w:pPr>
            <w:r w:rsidRPr="00FF0686">
              <w:rPr>
                <w:spacing w:val="-4"/>
                <w:kern w:val="12"/>
                <w:sz w:val="36"/>
              </w:rPr>
              <w:t>News release</w:t>
            </w:r>
          </w:p>
        </w:tc>
      </w:tr>
      <w:tr w:rsidR="00F251DC" w:rsidRPr="00FF0686" w:rsidTr="009050BA">
        <w:trPr>
          <w:trHeight w:hRule="exact" w:val="387"/>
        </w:trPr>
        <w:tc>
          <w:tcPr>
            <w:tcW w:w="1854" w:type="dxa"/>
            <w:tcMar>
              <w:left w:w="0" w:type="dxa"/>
              <w:right w:w="0" w:type="dxa"/>
            </w:tcMar>
          </w:tcPr>
          <w:p w:rsidR="00F251DC" w:rsidRPr="00FF0686" w:rsidRDefault="00F251DC" w:rsidP="009050BA">
            <w:pPr>
              <w:suppressAutoHyphens/>
              <w:rPr>
                <w:kern w:val="12"/>
                <w:sz w:val="22"/>
                <w:szCs w:val="22"/>
                <w:lang w:val="ru-RU"/>
              </w:rPr>
            </w:pPr>
            <w:r w:rsidRPr="00FF0686">
              <w:rPr>
                <w:kern w:val="12"/>
                <w:sz w:val="22"/>
                <w:szCs w:val="22"/>
              </w:rPr>
              <w:t>Contact:</w:t>
            </w:r>
          </w:p>
          <w:p w:rsidR="00F251DC" w:rsidRPr="00FF0686" w:rsidRDefault="00F251DC" w:rsidP="009050BA">
            <w:pPr>
              <w:suppressAutoHyphens/>
              <w:rPr>
                <w:kern w:val="12"/>
                <w:sz w:val="22"/>
                <w:szCs w:val="22"/>
                <w:lang w:val="ru-RU"/>
              </w:rPr>
            </w:pPr>
          </w:p>
          <w:p w:rsidR="00F251DC" w:rsidRPr="00FF0686" w:rsidRDefault="00F251DC" w:rsidP="009050BA">
            <w:pPr>
              <w:suppressAutoHyphens/>
              <w:rPr>
                <w:kern w:val="12"/>
                <w:sz w:val="22"/>
                <w:szCs w:val="22"/>
                <w:lang w:val="ru-RU"/>
              </w:rPr>
            </w:pPr>
          </w:p>
          <w:p w:rsidR="00F251DC" w:rsidRPr="00FF0686" w:rsidRDefault="00F251DC" w:rsidP="009050BA">
            <w:pPr>
              <w:suppressAutoHyphens/>
              <w:rPr>
                <w:kern w:val="12"/>
                <w:sz w:val="22"/>
                <w:szCs w:val="22"/>
                <w:lang w:val="ru-RU"/>
              </w:rPr>
            </w:pPr>
          </w:p>
          <w:p w:rsidR="00F251DC" w:rsidRPr="00FF0686" w:rsidRDefault="00F251DC" w:rsidP="009050BA">
            <w:pPr>
              <w:suppressAutoHyphens/>
              <w:rPr>
                <w:kern w:val="12"/>
                <w:sz w:val="22"/>
                <w:szCs w:val="22"/>
                <w:lang w:val="ru-RU"/>
              </w:rPr>
            </w:pPr>
          </w:p>
        </w:tc>
        <w:tc>
          <w:tcPr>
            <w:tcW w:w="5211" w:type="dxa"/>
            <w:tcMar>
              <w:left w:w="0" w:type="dxa"/>
              <w:right w:w="0" w:type="dxa"/>
            </w:tcMar>
          </w:tcPr>
          <w:p w:rsidR="00F251DC" w:rsidRPr="00FF0686" w:rsidRDefault="00F251DC" w:rsidP="009050BA">
            <w:pPr>
              <w:suppressAutoHyphens/>
              <w:rPr>
                <w:kern w:val="12"/>
                <w:sz w:val="22"/>
                <w:szCs w:val="22"/>
              </w:rPr>
            </w:pPr>
            <w:r w:rsidRPr="00FF0686">
              <w:rPr>
                <w:kern w:val="12"/>
                <w:sz w:val="22"/>
                <w:szCs w:val="22"/>
              </w:rPr>
              <w:t>Gleb Kostarev</w:t>
            </w:r>
            <w:bookmarkStart w:id="0" w:name="_GoBack"/>
            <w:bookmarkEnd w:id="0"/>
          </w:p>
        </w:tc>
        <w:tc>
          <w:tcPr>
            <w:tcW w:w="2737" w:type="dxa"/>
            <w:gridSpan w:val="2"/>
            <w:tcMar>
              <w:left w:w="0" w:type="dxa"/>
              <w:right w:w="0" w:type="dxa"/>
            </w:tcMar>
          </w:tcPr>
          <w:p w:rsidR="00F251DC" w:rsidRPr="00FF0686" w:rsidRDefault="00795831" w:rsidP="009050BA">
            <w:pPr>
              <w:suppressAutoHyphens/>
              <w:jc w:val="right"/>
              <w:rPr>
                <w:kern w:val="12"/>
                <w:sz w:val="22"/>
                <w:szCs w:val="22"/>
                <w:highlight w:val="yellow"/>
              </w:rPr>
            </w:pPr>
            <w:r>
              <w:rPr>
                <w:kern w:val="12"/>
                <w:sz w:val="22"/>
                <w:szCs w:val="22"/>
              </w:rPr>
              <w:t>29</w:t>
            </w:r>
            <w:r w:rsidR="00F251DC">
              <w:rPr>
                <w:kern w:val="12"/>
                <w:sz w:val="22"/>
                <w:szCs w:val="22"/>
              </w:rPr>
              <w:t xml:space="preserve"> February</w:t>
            </w:r>
            <w:r w:rsidR="00F251DC" w:rsidRPr="00FF0686">
              <w:rPr>
                <w:kern w:val="12"/>
                <w:sz w:val="22"/>
                <w:szCs w:val="22"/>
              </w:rPr>
              <w:t xml:space="preserve"> 2016 </w:t>
            </w:r>
          </w:p>
        </w:tc>
      </w:tr>
      <w:tr w:rsidR="00F251DC" w:rsidRPr="00FF0686" w:rsidTr="009050BA">
        <w:trPr>
          <w:trHeight w:hRule="exact" w:val="387"/>
        </w:trPr>
        <w:tc>
          <w:tcPr>
            <w:tcW w:w="1854" w:type="dxa"/>
            <w:tcMar>
              <w:left w:w="0" w:type="dxa"/>
              <w:right w:w="0" w:type="dxa"/>
            </w:tcMar>
          </w:tcPr>
          <w:p w:rsidR="00F251DC" w:rsidRPr="00FF0686" w:rsidRDefault="00F251DC" w:rsidP="009050BA">
            <w:pPr>
              <w:suppressAutoHyphens/>
              <w:rPr>
                <w:kern w:val="12"/>
                <w:sz w:val="22"/>
                <w:szCs w:val="22"/>
              </w:rPr>
            </w:pPr>
            <w:r w:rsidRPr="00FF0686">
              <w:rPr>
                <w:kern w:val="12"/>
                <w:sz w:val="22"/>
                <w:szCs w:val="22"/>
              </w:rPr>
              <w:t>Company:</w:t>
            </w:r>
          </w:p>
        </w:tc>
        <w:tc>
          <w:tcPr>
            <w:tcW w:w="7948" w:type="dxa"/>
            <w:gridSpan w:val="3"/>
            <w:tcMar>
              <w:left w:w="0" w:type="dxa"/>
              <w:right w:w="0" w:type="dxa"/>
            </w:tcMar>
          </w:tcPr>
          <w:p w:rsidR="00F251DC" w:rsidRPr="00FF0686" w:rsidRDefault="00F251DC" w:rsidP="009050BA">
            <w:pPr>
              <w:suppressAutoHyphens/>
              <w:rPr>
                <w:kern w:val="12"/>
                <w:sz w:val="22"/>
                <w:szCs w:val="22"/>
              </w:rPr>
            </w:pPr>
            <w:r w:rsidRPr="00FF0686">
              <w:rPr>
                <w:kern w:val="12"/>
                <w:sz w:val="22"/>
                <w:szCs w:val="22"/>
              </w:rPr>
              <w:t>EY</w:t>
            </w:r>
          </w:p>
        </w:tc>
      </w:tr>
      <w:tr w:rsidR="00F251DC" w:rsidRPr="00FF0686" w:rsidTr="009050BA">
        <w:trPr>
          <w:trHeight w:hRule="exact" w:val="387"/>
        </w:trPr>
        <w:tc>
          <w:tcPr>
            <w:tcW w:w="1854" w:type="dxa"/>
            <w:tcMar>
              <w:left w:w="0" w:type="dxa"/>
              <w:right w:w="0" w:type="dxa"/>
            </w:tcMar>
          </w:tcPr>
          <w:p w:rsidR="00F251DC" w:rsidRPr="00FF0686" w:rsidRDefault="00F251DC" w:rsidP="009050BA">
            <w:pPr>
              <w:suppressAutoHyphens/>
              <w:rPr>
                <w:kern w:val="12"/>
                <w:sz w:val="22"/>
                <w:szCs w:val="22"/>
              </w:rPr>
            </w:pPr>
            <w:r w:rsidRPr="00FF0686">
              <w:rPr>
                <w:kern w:val="12"/>
                <w:sz w:val="22"/>
                <w:szCs w:val="22"/>
              </w:rPr>
              <w:t>Tel:</w:t>
            </w:r>
          </w:p>
        </w:tc>
        <w:tc>
          <w:tcPr>
            <w:tcW w:w="7948" w:type="dxa"/>
            <w:gridSpan w:val="3"/>
            <w:tcMar>
              <w:left w:w="0" w:type="dxa"/>
              <w:right w:w="0" w:type="dxa"/>
            </w:tcMar>
          </w:tcPr>
          <w:p w:rsidR="00F251DC" w:rsidRPr="00FF0686" w:rsidRDefault="00F251DC" w:rsidP="009050BA">
            <w:pPr>
              <w:suppressAutoHyphens/>
              <w:rPr>
                <w:kern w:val="12"/>
                <w:sz w:val="22"/>
                <w:szCs w:val="22"/>
              </w:rPr>
            </w:pPr>
            <w:r w:rsidRPr="00FF0686">
              <w:rPr>
                <w:kern w:val="12"/>
                <w:sz w:val="22"/>
                <w:szCs w:val="22"/>
              </w:rPr>
              <w:t>+ 7 (495) 755 9700</w:t>
            </w:r>
          </w:p>
        </w:tc>
      </w:tr>
      <w:tr w:rsidR="00F251DC" w:rsidRPr="00FF0686" w:rsidTr="009050BA">
        <w:trPr>
          <w:trHeight w:hRule="exact" w:val="387"/>
        </w:trPr>
        <w:tc>
          <w:tcPr>
            <w:tcW w:w="1854" w:type="dxa"/>
            <w:tcMar>
              <w:left w:w="0" w:type="dxa"/>
              <w:right w:w="0" w:type="dxa"/>
            </w:tcMar>
          </w:tcPr>
          <w:p w:rsidR="00F251DC" w:rsidRPr="00FF0686" w:rsidRDefault="00F251DC" w:rsidP="009050BA">
            <w:pPr>
              <w:suppressAutoHyphens/>
              <w:rPr>
                <w:kern w:val="12"/>
                <w:sz w:val="22"/>
                <w:szCs w:val="22"/>
              </w:rPr>
            </w:pPr>
            <w:r w:rsidRPr="00FF0686">
              <w:rPr>
                <w:kern w:val="12"/>
                <w:sz w:val="22"/>
                <w:szCs w:val="22"/>
              </w:rPr>
              <w:t>Email:</w:t>
            </w:r>
          </w:p>
        </w:tc>
        <w:tc>
          <w:tcPr>
            <w:tcW w:w="7948" w:type="dxa"/>
            <w:gridSpan w:val="3"/>
            <w:tcMar>
              <w:left w:w="0" w:type="dxa"/>
              <w:right w:w="0" w:type="dxa"/>
            </w:tcMar>
          </w:tcPr>
          <w:p w:rsidR="00F251DC" w:rsidRPr="00FF0686" w:rsidRDefault="00633015" w:rsidP="009050BA">
            <w:pPr>
              <w:suppressAutoHyphens/>
              <w:rPr>
                <w:kern w:val="12"/>
                <w:sz w:val="22"/>
                <w:szCs w:val="22"/>
              </w:rPr>
            </w:pPr>
            <w:hyperlink r:id="rId13" w:history="1">
              <w:r w:rsidR="00F251DC" w:rsidRPr="00FF0686">
                <w:rPr>
                  <w:color w:val="0000FF"/>
                  <w:kern w:val="12"/>
                  <w:sz w:val="22"/>
                  <w:szCs w:val="22"/>
                  <w:u w:val="single"/>
                </w:rPr>
                <w:t>Gleb.Kostarev@ru.ey.com</w:t>
              </w:r>
            </w:hyperlink>
            <w:r w:rsidR="00F251DC" w:rsidRPr="00FF0686">
              <w:rPr>
                <w:kern w:val="12"/>
                <w:sz w:val="22"/>
                <w:szCs w:val="22"/>
              </w:rPr>
              <w:t xml:space="preserve"> </w:t>
            </w:r>
          </w:p>
        </w:tc>
      </w:tr>
    </w:tbl>
    <w:p w:rsidR="00F251DC" w:rsidRDefault="00F251DC" w:rsidP="00F251DC">
      <w:pPr>
        <w:pStyle w:val="EYBoldsubjectheading"/>
        <w:spacing w:before="0" w:line="240" w:lineRule="auto"/>
        <w:rPr>
          <w:b w:val="0"/>
        </w:rPr>
      </w:pPr>
    </w:p>
    <w:p w:rsidR="00322B29" w:rsidRDefault="00D24C2E" w:rsidP="00F251DC">
      <w:pPr>
        <w:pStyle w:val="EYBoldsubjectheading"/>
        <w:spacing w:before="0" w:line="240" w:lineRule="auto"/>
        <w:rPr>
          <w:sz w:val="28"/>
          <w:szCs w:val="28"/>
        </w:rPr>
      </w:pPr>
      <w:proofErr w:type="spellStart"/>
      <w:r w:rsidRPr="00D24C2E">
        <w:rPr>
          <w:sz w:val="28"/>
          <w:szCs w:val="28"/>
        </w:rPr>
        <w:t>Biopharma</w:t>
      </w:r>
      <w:proofErr w:type="spellEnd"/>
      <w:r w:rsidRPr="00D24C2E">
        <w:rPr>
          <w:sz w:val="28"/>
          <w:szCs w:val="28"/>
        </w:rPr>
        <w:t xml:space="preserve"> M&amp;A soars in 2015: Is this the new normal?</w:t>
      </w:r>
    </w:p>
    <w:p w:rsidR="00F251DC" w:rsidRPr="00F251DC" w:rsidRDefault="00F251DC" w:rsidP="00F251DC">
      <w:pPr>
        <w:pStyle w:val="EYBoldsubjectheading"/>
        <w:spacing w:before="0" w:line="240" w:lineRule="auto"/>
        <w:rPr>
          <w:b w:val="0"/>
        </w:rPr>
      </w:pPr>
    </w:p>
    <w:p w:rsidR="0011014D" w:rsidRPr="005268ED" w:rsidRDefault="00882455" w:rsidP="00D24C2E">
      <w:pPr>
        <w:pStyle w:val="EYBodytextwithparaspace"/>
        <w:numPr>
          <w:ilvl w:val="0"/>
          <w:numId w:val="3"/>
        </w:numPr>
        <w:spacing w:after="240"/>
        <w:rPr>
          <w:rFonts w:cs="Arial"/>
          <w:i/>
          <w:szCs w:val="22"/>
        </w:rPr>
      </w:pPr>
      <w:r w:rsidRPr="005268ED">
        <w:rPr>
          <w:rFonts w:cs="Arial"/>
          <w:b/>
          <w:szCs w:val="22"/>
        </w:rPr>
        <w:t xml:space="preserve">Record M&amp;A </w:t>
      </w:r>
      <w:r w:rsidR="00727075">
        <w:rPr>
          <w:rFonts w:cs="Arial"/>
          <w:b/>
          <w:szCs w:val="22"/>
        </w:rPr>
        <w:t xml:space="preserve">value </w:t>
      </w:r>
      <w:r w:rsidRPr="005268ED">
        <w:rPr>
          <w:rFonts w:cs="Arial"/>
          <w:b/>
          <w:szCs w:val="22"/>
        </w:rPr>
        <w:t xml:space="preserve">over </w:t>
      </w:r>
      <w:r w:rsidR="0011014D">
        <w:rPr>
          <w:rFonts w:cs="Arial"/>
          <w:b/>
          <w:szCs w:val="22"/>
        </w:rPr>
        <w:t>US</w:t>
      </w:r>
      <w:r w:rsidRPr="005268ED">
        <w:rPr>
          <w:rFonts w:cs="Arial"/>
          <w:b/>
          <w:szCs w:val="22"/>
        </w:rPr>
        <w:t>$300</w:t>
      </w:r>
      <w:r w:rsidR="0011014D">
        <w:rPr>
          <w:rFonts w:cs="Arial"/>
          <w:b/>
          <w:szCs w:val="22"/>
        </w:rPr>
        <w:t>b</w:t>
      </w:r>
      <w:r w:rsidRPr="005268ED">
        <w:rPr>
          <w:rFonts w:cs="Arial"/>
          <w:b/>
          <w:szCs w:val="22"/>
        </w:rPr>
        <w:t xml:space="preserve"> reflects industry transformation</w:t>
      </w:r>
    </w:p>
    <w:p w:rsidR="00202657" w:rsidRPr="009438E4" w:rsidRDefault="00202657" w:rsidP="0011014D">
      <w:pPr>
        <w:pStyle w:val="EYBodytextwithparaspace"/>
        <w:numPr>
          <w:ilvl w:val="0"/>
          <w:numId w:val="3"/>
        </w:numPr>
        <w:spacing w:after="240"/>
        <w:rPr>
          <w:rFonts w:cs="Arial"/>
          <w:i/>
          <w:szCs w:val="22"/>
        </w:rPr>
      </w:pPr>
      <w:r w:rsidRPr="00D24C2E">
        <w:rPr>
          <w:rFonts w:cs="Arial"/>
          <w:b/>
          <w:szCs w:val="22"/>
        </w:rPr>
        <w:t>Growth targets, consolidation and health care costs top industry’s 2016 agend</w:t>
      </w:r>
      <w:r w:rsidR="0011014D">
        <w:rPr>
          <w:rFonts w:cs="Arial"/>
          <w:b/>
          <w:szCs w:val="22"/>
        </w:rPr>
        <w:t>a</w:t>
      </w:r>
    </w:p>
    <w:p w:rsidR="00CF3EF8" w:rsidRPr="009438E4" w:rsidRDefault="00CF3EF8" w:rsidP="009438E4">
      <w:pPr>
        <w:pStyle w:val="EYBodytextwithparaspace"/>
        <w:numPr>
          <w:ilvl w:val="0"/>
          <w:numId w:val="3"/>
        </w:numPr>
        <w:spacing w:after="240"/>
        <w:rPr>
          <w:rFonts w:cs="Arial"/>
          <w:i/>
          <w:szCs w:val="22"/>
        </w:rPr>
      </w:pPr>
      <w:r w:rsidRPr="00AA732D">
        <w:rPr>
          <w:rFonts w:cs="Arial"/>
          <w:b/>
          <w:szCs w:val="22"/>
        </w:rPr>
        <w:t>Biotech appetite for M&amp;A rising while firepower reaches new high</w:t>
      </w:r>
    </w:p>
    <w:p w:rsidR="00D24C2E" w:rsidRPr="00B37143" w:rsidRDefault="00D24C2E" w:rsidP="00D24C2E">
      <w:pPr>
        <w:pStyle w:val="EYBodytextwithparaspace"/>
        <w:numPr>
          <w:ilvl w:val="0"/>
          <w:numId w:val="3"/>
        </w:numPr>
        <w:spacing w:after="240"/>
        <w:rPr>
          <w:rFonts w:cs="Arial"/>
          <w:i/>
          <w:szCs w:val="22"/>
        </w:rPr>
      </w:pPr>
      <w:r w:rsidRPr="00D24C2E">
        <w:rPr>
          <w:rFonts w:cs="Arial"/>
          <w:b/>
          <w:szCs w:val="22"/>
        </w:rPr>
        <w:t>Specialty pharma companies see ability to pursue larg</w:t>
      </w:r>
      <w:r w:rsidR="006961C8">
        <w:rPr>
          <w:rFonts w:cs="Arial"/>
          <w:b/>
          <w:szCs w:val="22"/>
        </w:rPr>
        <w:t>e acquisitions depleted</w:t>
      </w:r>
      <w:r w:rsidRPr="00D24C2E">
        <w:rPr>
          <w:rFonts w:cs="Arial"/>
          <w:b/>
          <w:szCs w:val="22"/>
        </w:rPr>
        <w:t xml:space="preserve">  </w:t>
      </w:r>
    </w:p>
    <w:p w:rsidR="00D24C2E" w:rsidRDefault="00D24C2E" w:rsidP="00322B29">
      <w:pPr>
        <w:pStyle w:val="EYBodytextwithparaspace"/>
        <w:spacing w:after="240"/>
        <w:rPr>
          <w:rFonts w:cs="Arial"/>
          <w:szCs w:val="22"/>
        </w:rPr>
      </w:pPr>
      <w:r>
        <w:rPr>
          <w:rFonts w:cs="Arial"/>
          <w:i/>
          <w:szCs w:val="22"/>
        </w:rPr>
        <w:t xml:space="preserve">SAN FRANCISCO, </w:t>
      </w:r>
      <w:r w:rsidR="00F251DC">
        <w:rPr>
          <w:rFonts w:cs="Arial"/>
          <w:i/>
          <w:szCs w:val="22"/>
        </w:rPr>
        <w:t>MOSCOW, 29 FEBRUARY</w:t>
      </w:r>
      <w:r>
        <w:rPr>
          <w:rFonts w:cs="Arial"/>
          <w:i/>
          <w:szCs w:val="22"/>
        </w:rPr>
        <w:t xml:space="preserve"> 2016.</w:t>
      </w:r>
      <w:r>
        <w:rPr>
          <w:rFonts w:cs="Arial"/>
          <w:szCs w:val="22"/>
        </w:rPr>
        <w:t xml:space="preserve"> </w:t>
      </w:r>
      <w:r w:rsidRPr="00D24C2E">
        <w:rPr>
          <w:rFonts w:cs="Arial"/>
          <w:szCs w:val="22"/>
        </w:rPr>
        <w:t xml:space="preserve">Mergers and acquisitions (M&amp;A) in the biopharmaceutical industry </w:t>
      </w:r>
      <w:r w:rsidR="0011014D">
        <w:rPr>
          <w:rFonts w:cs="Arial"/>
          <w:szCs w:val="22"/>
        </w:rPr>
        <w:t>skyrocketed in 2015</w:t>
      </w:r>
      <w:r w:rsidRPr="00D24C2E">
        <w:rPr>
          <w:rFonts w:cs="Arial"/>
          <w:szCs w:val="22"/>
        </w:rPr>
        <w:t xml:space="preserve">, with the value of </w:t>
      </w:r>
      <w:r w:rsidR="00587790">
        <w:rPr>
          <w:rFonts w:cs="Arial"/>
          <w:szCs w:val="22"/>
        </w:rPr>
        <w:t xml:space="preserve">2015 </w:t>
      </w:r>
      <w:r w:rsidRPr="00D24C2E">
        <w:rPr>
          <w:rFonts w:cs="Arial"/>
          <w:szCs w:val="22"/>
        </w:rPr>
        <w:t xml:space="preserve">announced deals totalling </w:t>
      </w:r>
      <w:r w:rsidR="00473974">
        <w:rPr>
          <w:rFonts w:cs="Arial"/>
          <w:szCs w:val="22"/>
        </w:rPr>
        <w:t>more than</w:t>
      </w:r>
      <w:r w:rsidRPr="00D24C2E">
        <w:rPr>
          <w:rFonts w:cs="Arial"/>
          <w:szCs w:val="22"/>
        </w:rPr>
        <w:t xml:space="preserve"> US$300b, a new record for the industry</w:t>
      </w:r>
      <w:r w:rsidR="004644B2">
        <w:rPr>
          <w:rFonts w:cs="Arial"/>
          <w:szCs w:val="22"/>
        </w:rPr>
        <w:t xml:space="preserve">, according to </w:t>
      </w:r>
      <w:r w:rsidR="004644B2" w:rsidRPr="00D24C2E">
        <w:rPr>
          <w:rFonts w:cs="Arial"/>
          <w:szCs w:val="22"/>
        </w:rPr>
        <w:t xml:space="preserve">EY’s </w:t>
      </w:r>
      <w:r w:rsidR="004644B2" w:rsidRPr="00D24C2E">
        <w:rPr>
          <w:rFonts w:cs="Arial"/>
          <w:i/>
          <w:szCs w:val="22"/>
        </w:rPr>
        <w:t>Firepower Index and Growth Gap Report 2016</w:t>
      </w:r>
      <w:r w:rsidR="004644B2" w:rsidRPr="00D24C2E">
        <w:rPr>
          <w:rFonts w:cs="Arial"/>
          <w:szCs w:val="22"/>
        </w:rPr>
        <w:t xml:space="preserve">. </w:t>
      </w:r>
      <w:r w:rsidRPr="00D24C2E">
        <w:rPr>
          <w:rFonts w:cs="Arial"/>
          <w:szCs w:val="22"/>
        </w:rPr>
        <w:t xml:space="preserve">Much of this activity was driven by companies seeking to create </w:t>
      </w:r>
      <w:proofErr w:type="gramStart"/>
      <w:r w:rsidRPr="00D24C2E">
        <w:rPr>
          <w:rFonts w:cs="Arial"/>
          <w:szCs w:val="22"/>
        </w:rPr>
        <w:t>more</w:t>
      </w:r>
      <w:proofErr w:type="gramEnd"/>
      <w:r w:rsidRPr="00D24C2E">
        <w:rPr>
          <w:rFonts w:cs="Arial"/>
          <w:szCs w:val="22"/>
        </w:rPr>
        <w:t xml:space="preserve"> focused business</w:t>
      </w:r>
      <w:r w:rsidR="00031899">
        <w:rPr>
          <w:rFonts w:cs="Arial"/>
          <w:szCs w:val="22"/>
        </w:rPr>
        <w:t>es</w:t>
      </w:r>
      <w:r w:rsidRPr="00D24C2E">
        <w:rPr>
          <w:rFonts w:cs="Arial"/>
          <w:szCs w:val="22"/>
        </w:rPr>
        <w:t xml:space="preserve"> and close persistent revenue “growth gaps</w:t>
      </w:r>
      <w:r w:rsidR="0073670A">
        <w:rPr>
          <w:rFonts w:cs="Arial"/>
          <w:szCs w:val="22"/>
        </w:rPr>
        <w:t>"</w:t>
      </w:r>
      <w:r w:rsidR="00473974">
        <w:rPr>
          <w:rFonts w:cs="Arial"/>
          <w:szCs w:val="22"/>
        </w:rPr>
        <w:t>.</w:t>
      </w:r>
      <w:r w:rsidR="00057116">
        <w:rPr>
          <w:rStyle w:val="FootnoteReference"/>
          <w:rFonts w:cs="Arial"/>
          <w:szCs w:val="22"/>
        </w:rPr>
        <w:footnoteReference w:id="1"/>
      </w:r>
      <w:r w:rsidRPr="00D24C2E">
        <w:rPr>
          <w:rFonts w:cs="Arial"/>
          <w:szCs w:val="22"/>
        </w:rPr>
        <w:t xml:space="preserve"> The previous industry M&amp;A record was set in 2014 </w:t>
      </w:r>
      <w:r w:rsidR="009B3C69">
        <w:rPr>
          <w:rFonts w:cs="Arial"/>
          <w:szCs w:val="22"/>
        </w:rPr>
        <w:t>exceeding</w:t>
      </w:r>
      <w:r w:rsidRPr="00D24C2E">
        <w:rPr>
          <w:rFonts w:cs="Arial"/>
          <w:szCs w:val="22"/>
        </w:rPr>
        <w:t xml:space="preserve"> US$200b in aggregate value. </w:t>
      </w:r>
      <w:r w:rsidR="001E0695">
        <w:rPr>
          <w:rFonts w:cs="Arial"/>
          <w:szCs w:val="22"/>
        </w:rPr>
        <w:t xml:space="preserve"> </w:t>
      </w:r>
    </w:p>
    <w:p w:rsidR="00D24C2E" w:rsidRDefault="00D24C2E" w:rsidP="00322B29">
      <w:pPr>
        <w:pStyle w:val="EYBodytextwithparaspace"/>
        <w:spacing w:after="240"/>
        <w:rPr>
          <w:rFonts w:cs="Arial"/>
          <w:szCs w:val="22"/>
        </w:rPr>
      </w:pPr>
      <w:r w:rsidRPr="00D24C2E">
        <w:rPr>
          <w:rFonts w:cs="Arial"/>
          <w:szCs w:val="22"/>
        </w:rPr>
        <w:t xml:space="preserve">In 2016, a renewed focus on value-based drug pricing, staunch competition across key therapeutic battlegrounds and </w:t>
      </w:r>
      <w:r w:rsidR="004644B2" w:rsidRPr="00D24C2E">
        <w:rPr>
          <w:rFonts w:cs="Arial"/>
          <w:szCs w:val="22"/>
        </w:rPr>
        <w:t>consolidat</w:t>
      </w:r>
      <w:r w:rsidR="004644B2">
        <w:rPr>
          <w:rFonts w:cs="Arial"/>
          <w:szCs w:val="22"/>
        </w:rPr>
        <w:t>ed</w:t>
      </w:r>
      <w:r w:rsidR="004644B2" w:rsidRPr="00D24C2E">
        <w:rPr>
          <w:rFonts w:cs="Arial"/>
          <w:szCs w:val="22"/>
        </w:rPr>
        <w:t xml:space="preserve"> </w:t>
      </w:r>
      <w:r w:rsidRPr="00D24C2E">
        <w:rPr>
          <w:rFonts w:cs="Arial"/>
          <w:szCs w:val="22"/>
        </w:rPr>
        <w:t xml:space="preserve">payer clout may exacerbate existing growth gaps, resulting in a continued feverish deal environment for this year and beyond. </w:t>
      </w:r>
    </w:p>
    <w:p w:rsidR="003130D3" w:rsidRDefault="00D24C2E" w:rsidP="00D24C2E">
      <w:pPr>
        <w:pStyle w:val="EYBodytextwithparaspace"/>
        <w:spacing w:after="240"/>
        <w:rPr>
          <w:rFonts w:cs="Arial"/>
          <w:szCs w:val="22"/>
        </w:rPr>
      </w:pPr>
      <w:r w:rsidRPr="00D24C2E">
        <w:rPr>
          <w:rFonts w:cs="Arial"/>
          <w:szCs w:val="22"/>
        </w:rPr>
        <w:t xml:space="preserve">The EY </w:t>
      </w:r>
      <w:r w:rsidRPr="00D24C2E">
        <w:rPr>
          <w:rFonts w:cs="Arial"/>
          <w:i/>
          <w:szCs w:val="22"/>
        </w:rPr>
        <w:t>Firepower Index</w:t>
      </w:r>
      <w:r w:rsidRPr="00D24C2E">
        <w:rPr>
          <w:rFonts w:cs="Arial"/>
          <w:szCs w:val="22"/>
        </w:rPr>
        <w:t xml:space="preserve"> measures </w:t>
      </w:r>
      <w:proofErr w:type="spellStart"/>
      <w:r w:rsidRPr="00D24C2E">
        <w:rPr>
          <w:rFonts w:cs="Arial"/>
          <w:szCs w:val="22"/>
        </w:rPr>
        <w:t>biopharma</w:t>
      </w:r>
      <w:proofErr w:type="spellEnd"/>
      <w:r w:rsidRPr="00D24C2E">
        <w:rPr>
          <w:rFonts w:cs="Arial"/>
          <w:szCs w:val="22"/>
        </w:rPr>
        <w:t xml:space="preserve"> companies' ability to fund M&amp;A transactions based on the strength of their balance sheets and their market capitalization. Thus, a company's firepower increases when either its market capitalization or its cash and equivalents rise </w:t>
      </w:r>
      <w:r w:rsidR="008863A3" w:rsidRPr="00D24C2E">
        <w:rPr>
          <w:rFonts w:cs="Arial"/>
          <w:szCs w:val="22"/>
        </w:rPr>
        <w:t>–</w:t>
      </w:r>
      <w:r w:rsidR="008863A3">
        <w:rPr>
          <w:rFonts w:cs="Arial"/>
          <w:szCs w:val="22"/>
        </w:rPr>
        <w:t xml:space="preserve"> </w:t>
      </w:r>
      <w:r w:rsidRPr="00D24C2E">
        <w:rPr>
          <w:rFonts w:cs="Arial"/>
          <w:szCs w:val="22"/>
        </w:rPr>
        <w:t>or its debt falls.</w:t>
      </w:r>
    </w:p>
    <w:p w:rsidR="00D24C2E" w:rsidRDefault="00D24C2E" w:rsidP="00D24C2E">
      <w:pPr>
        <w:pStyle w:val="EYBodytextwithparaspace"/>
        <w:spacing w:after="240"/>
        <w:rPr>
          <w:rFonts w:cs="Arial"/>
          <w:szCs w:val="22"/>
        </w:rPr>
      </w:pPr>
      <w:r w:rsidRPr="00D24C2E">
        <w:rPr>
          <w:rFonts w:cs="Arial"/>
          <w:szCs w:val="22"/>
        </w:rPr>
        <w:t xml:space="preserve">Glen </w:t>
      </w:r>
      <w:proofErr w:type="spellStart"/>
      <w:r w:rsidRPr="00D24C2E">
        <w:rPr>
          <w:rFonts w:cs="Arial"/>
          <w:szCs w:val="22"/>
        </w:rPr>
        <w:t>Giovannetti</w:t>
      </w:r>
      <w:proofErr w:type="spellEnd"/>
      <w:r w:rsidRPr="00D24C2E">
        <w:rPr>
          <w:rFonts w:cs="Arial"/>
          <w:szCs w:val="22"/>
        </w:rPr>
        <w:t>, EY’s Global Life Sciences Leader, says:</w:t>
      </w:r>
    </w:p>
    <w:p w:rsidR="00D24C2E" w:rsidRDefault="00D24C2E" w:rsidP="00D24C2E">
      <w:pPr>
        <w:pStyle w:val="EYBodytextwithparaspace"/>
        <w:spacing w:after="240"/>
        <w:rPr>
          <w:rFonts w:cs="Arial"/>
          <w:szCs w:val="22"/>
        </w:rPr>
      </w:pPr>
      <w:r w:rsidRPr="00D24C2E">
        <w:rPr>
          <w:rFonts w:cs="Arial"/>
          <w:szCs w:val="22"/>
        </w:rPr>
        <w:t>“While we can’t predict</w:t>
      </w:r>
      <w:r>
        <w:rPr>
          <w:rFonts w:cs="Arial"/>
          <w:szCs w:val="22"/>
        </w:rPr>
        <w:t xml:space="preserve"> </w:t>
      </w:r>
      <w:r w:rsidRPr="00D24C2E">
        <w:rPr>
          <w:rFonts w:cs="Arial"/>
          <w:szCs w:val="22"/>
        </w:rPr>
        <w:t xml:space="preserve">more large transformational deals over </w:t>
      </w:r>
      <w:r w:rsidR="00057116">
        <w:rPr>
          <w:rFonts w:cs="Arial"/>
          <w:szCs w:val="22"/>
        </w:rPr>
        <w:t>US</w:t>
      </w:r>
      <w:r w:rsidRPr="00D24C2E">
        <w:rPr>
          <w:rFonts w:cs="Arial"/>
          <w:szCs w:val="22"/>
        </w:rPr>
        <w:t>$100</w:t>
      </w:r>
      <w:r w:rsidR="00D13435">
        <w:rPr>
          <w:rFonts w:cs="Arial"/>
          <w:szCs w:val="22"/>
        </w:rPr>
        <w:t>b</w:t>
      </w:r>
      <w:r w:rsidRPr="00D24C2E">
        <w:rPr>
          <w:rFonts w:cs="Arial"/>
          <w:szCs w:val="22"/>
        </w:rPr>
        <w:t xml:space="preserve"> in 2016, we do expect a continued brisk pace for acquisitions and a continuation of the robust divestiture </w:t>
      </w:r>
      <w:r w:rsidRPr="00D24C2E">
        <w:rPr>
          <w:rFonts w:cs="Arial"/>
          <w:szCs w:val="22"/>
        </w:rPr>
        <w:lastRenderedPageBreak/>
        <w:t>environment</w:t>
      </w:r>
      <w:r w:rsidR="00C82B21">
        <w:rPr>
          <w:rFonts w:cs="Arial"/>
          <w:szCs w:val="22"/>
        </w:rPr>
        <w:t>,</w:t>
      </w:r>
      <w:r w:rsidRPr="00D24C2E">
        <w:rPr>
          <w:rFonts w:cs="Arial"/>
          <w:szCs w:val="22"/>
        </w:rPr>
        <w:t xml:space="preserve"> as companies seek to focus </w:t>
      </w:r>
      <w:r w:rsidR="00C82B21">
        <w:rPr>
          <w:rFonts w:cs="Arial"/>
          <w:szCs w:val="22"/>
        </w:rPr>
        <w:t xml:space="preserve">on </w:t>
      </w:r>
      <w:r w:rsidRPr="00D24C2E">
        <w:rPr>
          <w:rFonts w:cs="Arial"/>
          <w:szCs w:val="22"/>
        </w:rPr>
        <w:t xml:space="preserve">and gain scale in </w:t>
      </w:r>
      <w:r w:rsidR="00915E6A">
        <w:rPr>
          <w:rFonts w:cs="Arial"/>
          <w:szCs w:val="22"/>
        </w:rPr>
        <w:t xml:space="preserve">their </w:t>
      </w:r>
      <w:r w:rsidRPr="00D24C2E">
        <w:rPr>
          <w:rFonts w:cs="Arial"/>
          <w:szCs w:val="22"/>
        </w:rPr>
        <w:t>chosen therapeutic areas. Three times as many companies now possess at least US$3b in firepower than a year ago, meaning more competition for targets as well as a longer list of potential acquirers for divestitures. Big pharma, in particular, should capitalize on its dominant share of firepower and continue to pursue aggressive but strategically sound deals to fill its portfolio and pipeline gaps.”</w:t>
      </w:r>
    </w:p>
    <w:p w:rsidR="00D24C2E" w:rsidRDefault="00D24C2E" w:rsidP="00D24C2E">
      <w:pPr>
        <w:pStyle w:val="EYBodytextwithparaspace"/>
        <w:spacing w:after="240"/>
        <w:rPr>
          <w:rFonts w:cs="Arial"/>
          <w:szCs w:val="22"/>
        </w:rPr>
      </w:pPr>
      <w:r w:rsidRPr="00D24C2E">
        <w:rPr>
          <w:rFonts w:cs="Arial"/>
          <w:szCs w:val="22"/>
        </w:rPr>
        <w:t>Although big pharma is starting to see growth through R&amp;D successes in areas such as oncology and infectious disease, many of the industry's biggest players will continue to turn to M&amp;A to reach their growth goals</w:t>
      </w:r>
      <w:r w:rsidR="00C82B21">
        <w:rPr>
          <w:rFonts w:cs="Arial"/>
          <w:szCs w:val="22"/>
        </w:rPr>
        <w:t>,</w:t>
      </w:r>
      <w:r w:rsidRPr="00D24C2E">
        <w:rPr>
          <w:rFonts w:cs="Arial"/>
          <w:szCs w:val="22"/>
        </w:rPr>
        <w:t xml:space="preserve"> with focused acquisitions and divestitures becoming paramount. </w:t>
      </w:r>
    </w:p>
    <w:p w:rsidR="00D24C2E" w:rsidRDefault="00D24C2E" w:rsidP="00D24C2E">
      <w:pPr>
        <w:pStyle w:val="EYBodytextwithparaspace"/>
        <w:spacing w:after="240"/>
        <w:rPr>
          <w:rFonts w:cs="Arial"/>
          <w:szCs w:val="22"/>
        </w:rPr>
      </w:pPr>
      <w:r w:rsidRPr="00D24C2E">
        <w:rPr>
          <w:rFonts w:cs="Arial"/>
          <w:szCs w:val="22"/>
        </w:rPr>
        <w:t>Key findings highlighted in this year’s report include:</w:t>
      </w:r>
    </w:p>
    <w:p w:rsidR="00057116" w:rsidRDefault="00DC0F3B" w:rsidP="00581DF5">
      <w:pPr>
        <w:pStyle w:val="EYBodytextwithparaspace"/>
        <w:numPr>
          <w:ilvl w:val="0"/>
          <w:numId w:val="4"/>
        </w:numPr>
        <w:spacing w:after="240"/>
        <w:rPr>
          <w:rFonts w:cs="Arial"/>
          <w:szCs w:val="22"/>
        </w:rPr>
      </w:pPr>
      <w:r>
        <w:rPr>
          <w:rFonts w:cs="Arial"/>
          <w:b/>
          <w:szCs w:val="22"/>
        </w:rPr>
        <w:t xml:space="preserve">M&amp;A: </w:t>
      </w:r>
      <w:r w:rsidR="008863A3">
        <w:rPr>
          <w:rFonts w:cs="Arial"/>
          <w:b/>
          <w:szCs w:val="22"/>
        </w:rPr>
        <w:t>s</w:t>
      </w:r>
      <w:r w:rsidR="008863A3" w:rsidRPr="00057116">
        <w:rPr>
          <w:rFonts w:cs="Arial"/>
          <w:b/>
          <w:szCs w:val="22"/>
        </w:rPr>
        <w:t xml:space="preserve">pecialty </w:t>
      </w:r>
      <w:r w:rsidR="00057116" w:rsidRPr="00057116">
        <w:rPr>
          <w:rFonts w:cs="Arial"/>
          <w:b/>
          <w:szCs w:val="22"/>
        </w:rPr>
        <w:t xml:space="preserve">pharma </w:t>
      </w:r>
      <w:proofErr w:type="gramStart"/>
      <w:r>
        <w:rPr>
          <w:rFonts w:cs="Arial"/>
          <w:b/>
          <w:szCs w:val="22"/>
        </w:rPr>
        <w:t>leads,</w:t>
      </w:r>
      <w:proofErr w:type="gramEnd"/>
      <w:r>
        <w:rPr>
          <w:rFonts w:cs="Arial"/>
          <w:b/>
          <w:szCs w:val="22"/>
        </w:rPr>
        <w:t xml:space="preserve"> big pharma follows, </w:t>
      </w:r>
      <w:r w:rsidR="001A62EB">
        <w:rPr>
          <w:rFonts w:cs="Arial"/>
          <w:b/>
          <w:szCs w:val="22"/>
        </w:rPr>
        <w:t xml:space="preserve">while </w:t>
      </w:r>
      <w:r>
        <w:rPr>
          <w:rFonts w:cs="Arial"/>
          <w:b/>
          <w:szCs w:val="22"/>
        </w:rPr>
        <w:t xml:space="preserve">biotech </w:t>
      </w:r>
      <w:r w:rsidR="009B3C69">
        <w:rPr>
          <w:rFonts w:cs="Arial"/>
          <w:b/>
          <w:szCs w:val="22"/>
        </w:rPr>
        <w:t>ambitions rise</w:t>
      </w:r>
      <w:r>
        <w:rPr>
          <w:rFonts w:cs="Arial"/>
          <w:b/>
          <w:szCs w:val="22"/>
        </w:rPr>
        <w:t>:</w:t>
      </w:r>
      <w:r w:rsidR="00057116" w:rsidRPr="00057116">
        <w:rPr>
          <w:rFonts w:cs="Arial"/>
          <w:szCs w:val="22"/>
        </w:rPr>
        <w:t xml:space="preserve"> </w:t>
      </w:r>
      <w:r w:rsidR="00D13435">
        <w:rPr>
          <w:rFonts w:cs="Arial"/>
          <w:szCs w:val="22"/>
        </w:rPr>
        <w:t>E</w:t>
      </w:r>
      <w:r w:rsidR="00332230">
        <w:rPr>
          <w:rFonts w:cs="Arial"/>
          <w:szCs w:val="22"/>
        </w:rPr>
        <w:t xml:space="preserve">arly 2015 </w:t>
      </w:r>
      <w:r w:rsidR="00057116" w:rsidRPr="00057116">
        <w:rPr>
          <w:rFonts w:cs="Arial"/>
          <w:szCs w:val="22"/>
        </w:rPr>
        <w:t>deal activity was driven by specialty pharma companies</w:t>
      </w:r>
      <w:r w:rsidR="00332230">
        <w:rPr>
          <w:rFonts w:cs="Arial"/>
          <w:szCs w:val="22"/>
        </w:rPr>
        <w:t xml:space="preserve"> with </w:t>
      </w:r>
      <w:r w:rsidR="00861533">
        <w:rPr>
          <w:rFonts w:cs="Arial"/>
          <w:szCs w:val="22"/>
        </w:rPr>
        <w:t xml:space="preserve">a majority </w:t>
      </w:r>
      <w:r w:rsidR="00A97C85">
        <w:rPr>
          <w:rFonts w:cs="Arial"/>
          <w:szCs w:val="22"/>
        </w:rPr>
        <w:t xml:space="preserve">of </w:t>
      </w:r>
      <w:r w:rsidR="00057116" w:rsidRPr="00057116">
        <w:rPr>
          <w:rFonts w:cs="Arial"/>
          <w:szCs w:val="22"/>
        </w:rPr>
        <w:t>deals by total valuation in the specialty or generics sector</w:t>
      </w:r>
      <w:r w:rsidR="00861533">
        <w:rPr>
          <w:rFonts w:cs="Arial"/>
          <w:szCs w:val="22"/>
        </w:rPr>
        <w:t>. B</w:t>
      </w:r>
      <w:r w:rsidR="00581DF5">
        <w:rPr>
          <w:rFonts w:cs="Arial"/>
          <w:szCs w:val="22"/>
        </w:rPr>
        <w:t>ut big pharma</w:t>
      </w:r>
      <w:r w:rsidR="0073670A">
        <w:rPr>
          <w:rFonts w:cs="Arial"/>
          <w:szCs w:val="22"/>
        </w:rPr>
        <w:t xml:space="preserve"> </w:t>
      </w:r>
      <w:r w:rsidR="00581DF5">
        <w:rPr>
          <w:rFonts w:cs="Arial"/>
          <w:szCs w:val="22"/>
        </w:rPr>
        <w:t>grabbed the limelight</w:t>
      </w:r>
      <w:r w:rsidR="0073670A">
        <w:rPr>
          <w:rFonts w:cs="Arial"/>
          <w:szCs w:val="22"/>
        </w:rPr>
        <w:t xml:space="preserve"> later in the year</w:t>
      </w:r>
      <w:r w:rsidR="00581DF5">
        <w:rPr>
          <w:rFonts w:cs="Arial"/>
          <w:szCs w:val="22"/>
        </w:rPr>
        <w:t xml:space="preserve"> while biotech </w:t>
      </w:r>
      <w:r w:rsidR="00A97C85">
        <w:rPr>
          <w:rFonts w:cs="Arial"/>
          <w:szCs w:val="22"/>
        </w:rPr>
        <w:t xml:space="preserve">was marked more by </w:t>
      </w:r>
      <w:r w:rsidR="00581DF5">
        <w:rPr>
          <w:rFonts w:cs="Arial"/>
          <w:szCs w:val="22"/>
        </w:rPr>
        <w:t xml:space="preserve">modest deals but </w:t>
      </w:r>
      <w:r w:rsidR="009B3C69">
        <w:rPr>
          <w:rFonts w:cs="Arial"/>
          <w:szCs w:val="22"/>
        </w:rPr>
        <w:t>with bolder ambitions for 2016.</w:t>
      </w:r>
      <w:r w:rsidR="00581DF5">
        <w:rPr>
          <w:rFonts w:cs="Arial"/>
          <w:szCs w:val="22"/>
        </w:rPr>
        <w:t xml:space="preserve"> </w:t>
      </w:r>
      <w:r w:rsidRPr="00581DF5">
        <w:rPr>
          <w:rFonts w:cs="Arial"/>
          <w:szCs w:val="22"/>
        </w:rPr>
        <w:t xml:space="preserve">  </w:t>
      </w:r>
    </w:p>
    <w:p w:rsidR="00832B23" w:rsidRPr="00832B23" w:rsidRDefault="00882455" w:rsidP="00832B23">
      <w:pPr>
        <w:pStyle w:val="EYBodytextwithparaspace"/>
        <w:numPr>
          <w:ilvl w:val="0"/>
          <w:numId w:val="4"/>
        </w:numPr>
        <w:spacing w:after="240"/>
        <w:rPr>
          <w:rFonts w:cs="Arial"/>
          <w:szCs w:val="22"/>
        </w:rPr>
      </w:pPr>
      <w:r w:rsidRPr="00D24C2E">
        <w:rPr>
          <w:rFonts w:cs="Arial"/>
          <w:b/>
          <w:szCs w:val="22"/>
        </w:rPr>
        <w:t>Growth gap persists:</w:t>
      </w:r>
      <w:r w:rsidRPr="00D24C2E">
        <w:rPr>
          <w:rFonts w:cs="Arial"/>
          <w:szCs w:val="22"/>
        </w:rPr>
        <w:t xml:space="preserve"> Big pharma’s aggregate growth gap – the revenue shortfall below global biopharmaceutical sales growth – remain</w:t>
      </w:r>
      <w:r>
        <w:rPr>
          <w:rFonts w:cs="Arial"/>
          <w:szCs w:val="22"/>
        </w:rPr>
        <w:t>ed</w:t>
      </w:r>
      <w:r w:rsidRPr="00D24C2E">
        <w:rPr>
          <w:rFonts w:cs="Arial"/>
          <w:szCs w:val="22"/>
        </w:rPr>
        <w:t xml:space="preserve"> stuck at </w:t>
      </w:r>
      <w:r>
        <w:rPr>
          <w:rFonts w:cs="Arial"/>
          <w:szCs w:val="22"/>
        </w:rPr>
        <w:t xml:space="preserve">near </w:t>
      </w:r>
      <w:r w:rsidRPr="00D24C2E">
        <w:rPr>
          <w:rFonts w:cs="Arial"/>
          <w:szCs w:val="22"/>
        </w:rPr>
        <w:t>US$100b due in part to foreign exchange headwinds</w:t>
      </w:r>
      <w:r w:rsidR="00861533">
        <w:rPr>
          <w:rFonts w:cs="Arial"/>
          <w:szCs w:val="22"/>
        </w:rPr>
        <w:t>.</w:t>
      </w:r>
      <w:r w:rsidR="00A67B89">
        <w:rPr>
          <w:rFonts w:cs="Arial"/>
          <w:szCs w:val="22"/>
        </w:rPr>
        <w:t xml:space="preserve"> </w:t>
      </w:r>
      <w:r w:rsidR="0073670A">
        <w:rPr>
          <w:rFonts w:cs="Arial"/>
          <w:szCs w:val="22"/>
        </w:rPr>
        <w:t>In 2016, there was only one deal that will have a significant impact on big pharma's growth gap.</w:t>
      </w:r>
      <w:r w:rsidR="00861533">
        <w:rPr>
          <w:rFonts w:cs="Arial"/>
          <w:szCs w:val="22"/>
        </w:rPr>
        <w:t xml:space="preserve"> </w:t>
      </w:r>
    </w:p>
    <w:p w:rsidR="00057116" w:rsidRDefault="00057116" w:rsidP="00057116">
      <w:pPr>
        <w:pStyle w:val="EYBodytextwithparaspace"/>
        <w:numPr>
          <w:ilvl w:val="0"/>
          <w:numId w:val="4"/>
        </w:numPr>
        <w:spacing w:after="240"/>
        <w:rPr>
          <w:rFonts w:cs="Arial"/>
          <w:szCs w:val="22"/>
        </w:rPr>
      </w:pPr>
      <w:r w:rsidRPr="00057116">
        <w:rPr>
          <w:rFonts w:cs="Arial"/>
          <w:b/>
          <w:szCs w:val="22"/>
        </w:rPr>
        <w:t>Specialty pharma’s firepower drops</w:t>
      </w:r>
      <w:r w:rsidR="00407F57">
        <w:rPr>
          <w:rFonts w:cs="Arial"/>
          <w:b/>
          <w:szCs w:val="22"/>
        </w:rPr>
        <w:t xml:space="preserve"> while biotech rises to new highs</w:t>
      </w:r>
      <w:r w:rsidR="00861533">
        <w:rPr>
          <w:rFonts w:cs="Arial"/>
          <w:b/>
          <w:szCs w:val="22"/>
        </w:rPr>
        <w:t>:</w:t>
      </w:r>
      <w:r w:rsidRPr="00057116">
        <w:rPr>
          <w:rFonts w:cs="Arial"/>
          <w:szCs w:val="22"/>
        </w:rPr>
        <w:t xml:space="preserve"> </w:t>
      </w:r>
      <w:r w:rsidR="00407F57">
        <w:rPr>
          <w:rFonts w:cs="Arial"/>
          <w:szCs w:val="22"/>
        </w:rPr>
        <w:t>Following</w:t>
      </w:r>
      <w:r w:rsidRPr="00057116">
        <w:rPr>
          <w:rFonts w:cs="Arial"/>
          <w:szCs w:val="22"/>
        </w:rPr>
        <w:t xml:space="preserve"> </w:t>
      </w:r>
      <w:r w:rsidR="00861533">
        <w:rPr>
          <w:rFonts w:cs="Arial"/>
          <w:szCs w:val="22"/>
        </w:rPr>
        <w:t xml:space="preserve">a </w:t>
      </w:r>
      <w:r w:rsidRPr="00057116">
        <w:rPr>
          <w:rFonts w:cs="Arial"/>
          <w:szCs w:val="22"/>
        </w:rPr>
        <w:t xml:space="preserve">recent series of </w:t>
      </w:r>
      <w:r w:rsidR="00D56E68">
        <w:rPr>
          <w:rFonts w:cs="Arial"/>
          <w:szCs w:val="22"/>
        </w:rPr>
        <w:t>debt</w:t>
      </w:r>
      <w:r w:rsidR="00C82B21">
        <w:rPr>
          <w:rFonts w:cs="Arial"/>
          <w:szCs w:val="22"/>
        </w:rPr>
        <w:t>-</w:t>
      </w:r>
      <w:r w:rsidR="002B3960">
        <w:rPr>
          <w:rFonts w:cs="Arial"/>
          <w:szCs w:val="22"/>
        </w:rPr>
        <w:t>fuelled</w:t>
      </w:r>
      <w:r w:rsidR="00407F57">
        <w:rPr>
          <w:rFonts w:cs="Arial"/>
          <w:szCs w:val="22"/>
        </w:rPr>
        <w:t xml:space="preserve"> </w:t>
      </w:r>
      <w:r w:rsidRPr="00057116">
        <w:rPr>
          <w:rFonts w:cs="Arial"/>
          <w:szCs w:val="22"/>
        </w:rPr>
        <w:t>acquisitions and falling equity valuations, specialty pharma</w:t>
      </w:r>
      <w:r w:rsidR="0011014D">
        <w:rPr>
          <w:rFonts w:cs="Arial"/>
          <w:szCs w:val="22"/>
        </w:rPr>
        <w:t>’</w:t>
      </w:r>
      <w:r w:rsidR="00407F57">
        <w:rPr>
          <w:rFonts w:cs="Arial"/>
          <w:szCs w:val="22"/>
        </w:rPr>
        <w:t>s</w:t>
      </w:r>
      <w:r w:rsidR="0011014D">
        <w:rPr>
          <w:rFonts w:cs="Arial"/>
          <w:szCs w:val="22"/>
        </w:rPr>
        <w:t xml:space="preserve"> </w:t>
      </w:r>
      <w:r w:rsidRPr="00057116">
        <w:rPr>
          <w:rFonts w:cs="Arial"/>
          <w:szCs w:val="22"/>
        </w:rPr>
        <w:t xml:space="preserve">firepower, </w:t>
      </w:r>
      <w:r w:rsidR="00407F57">
        <w:rPr>
          <w:rFonts w:cs="Arial"/>
          <w:szCs w:val="22"/>
        </w:rPr>
        <w:t xml:space="preserve">has </w:t>
      </w:r>
      <w:r w:rsidR="00861533">
        <w:rPr>
          <w:rFonts w:cs="Arial"/>
          <w:szCs w:val="22"/>
        </w:rPr>
        <w:t>decreased</w:t>
      </w:r>
      <w:r w:rsidR="00407F57">
        <w:rPr>
          <w:rFonts w:cs="Arial"/>
          <w:szCs w:val="22"/>
        </w:rPr>
        <w:t xml:space="preserve"> by nearly</w:t>
      </w:r>
      <w:r w:rsidR="00D13435">
        <w:rPr>
          <w:rFonts w:cs="Arial"/>
          <w:szCs w:val="22"/>
        </w:rPr>
        <w:t xml:space="preserve"> </w:t>
      </w:r>
      <w:r w:rsidR="00407F57">
        <w:rPr>
          <w:rFonts w:cs="Arial"/>
          <w:szCs w:val="22"/>
        </w:rPr>
        <w:t>50</w:t>
      </w:r>
      <w:r w:rsidRPr="00057116">
        <w:rPr>
          <w:rFonts w:cs="Arial"/>
          <w:szCs w:val="22"/>
        </w:rPr>
        <w:t>%</w:t>
      </w:r>
      <w:r w:rsidR="00861533">
        <w:rPr>
          <w:rFonts w:cs="Arial"/>
          <w:szCs w:val="22"/>
        </w:rPr>
        <w:t>. S</w:t>
      </w:r>
      <w:r w:rsidR="00407F57">
        <w:rPr>
          <w:rFonts w:cs="Arial"/>
          <w:szCs w:val="22"/>
        </w:rPr>
        <w:t>imultaneously, big biotech</w:t>
      </w:r>
      <w:r w:rsidR="00861533">
        <w:rPr>
          <w:rFonts w:cs="Arial"/>
          <w:szCs w:val="22"/>
        </w:rPr>
        <w:t>’s</w:t>
      </w:r>
      <w:r w:rsidR="00407F57">
        <w:rPr>
          <w:rFonts w:cs="Arial"/>
          <w:szCs w:val="22"/>
        </w:rPr>
        <w:t xml:space="preserve"> firepower has reached new highs</w:t>
      </w:r>
      <w:r w:rsidR="00861533">
        <w:rPr>
          <w:rFonts w:cs="Arial"/>
          <w:szCs w:val="22"/>
        </w:rPr>
        <w:t xml:space="preserve"> </w:t>
      </w:r>
      <w:r w:rsidR="001A62EB">
        <w:rPr>
          <w:rFonts w:cs="Arial"/>
          <w:szCs w:val="22"/>
        </w:rPr>
        <w:t xml:space="preserve">of </w:t>
      </w:r>
      <w:r w:rsidR="008863A3">
        <w:rPr>
          <w:rFonts w:cs="Arial"/>
          <w:szCs w:val="22"/>
        </w:rPr>
        <w:t xml:space="preserve">more than </w:t>
      </w:r>
      <w:r w:rsidR="00D13435">
        <w:rPr>
          <w:rFonts w:cs="Arial"/>
          <w:szCs w:val="22"/>
        </w:rPr>
        <w:t>US</w:t>
      </w:r>
      <w:r w:rsidR="00407F57">
        <w:rPr>
          <w:rFonts w:cs="Arial"/>
          <w:szCs w:val="22"/>
        </w:rPr>
        <w:t>$300</w:t>
      </w:r>
      <w:r w:rsidR="00D13435">
        <w:rPr>
          <w:rFonts w:cs="Arial"/>
          <w:szCs w:val="22"/>
        </w:rPr>
        <w:t>b</w:t>
      </w:r>
      <w:r w:rsidR="00407F57">
        <w:rPr>
          <w:rFonts w:cs="Arial"/>
          <w:szCs w:val="22"/>
        </w:rPr>
        <w:t xml:space="preserve">.  </w:t>
      </w:r>
    </w:p>
    <w:p w:rsidR="003130D3" w:rsidRDefault="003130D3" w:rsidP="009438E4">
      <w:pPr>
        <w:spacing w:after="200" w:line="276" w:lineRule="auto"/>
        <w:rPr>
          <w:rFonts w:cs="Arial"/>
          <w:b/>
          <w:sz w:val="22"/>
          <w:szCs w:val="22"/>
        </w:rPr>
      </w:pPr>
    </w:p>
    <w:p w:rsidR="00057116" w:rsidRPr="009438E4" w:rsidRDefault="00057116" w:rsidP="009438E4">
      <w:pPr>
        <w:spacing w:after="200" w:line="276" w:lineRule="auto"/>
        <w:rPr>
          <w:rFonts w:cs="Arial"/>
          <w:b/>
          <w:sz w:val="22"/>
          <w:szCs w:val="22"/>
        </w:rPr>
      </w:pPr>
      <w:r w:rsidRPr="009438E4">
        <w:rPr>
          <w:rFonts w:cs="Arial"/>
          <w:b/>
          <w:sz w:val="22"/>
          <w:szCs w:val="22"/>
        </w:rPr>
        <w:t>Implications for 2016</w:t>
      </w:r>
    </w:p>
    <w:p w:rsidR="00322B29" w:rsidRPr="00F00916" w:rsidRDefault="001600E6" w:rsidP="00D24C2E">
      <w:pPr>
        <w:pStyle w:val="EYBodytextwithparaspace"/>
        <w:spacing w:after="240"/>
        <w:rPr>
          <w:rFonts w:cs="Arial"/>
          <w:szCs w:val="22"/>
        </w:rPr>
      </w:pPr>
      <w:r>
        <w:rPr>
          <w:rFonts w:cs="Arial"/>
          <w:szCs w:val="22"/>
        </w:rPr>
        <w:t>W</w:t>
      </w:r>
      <w:r w:rsidR="00057116" w:rsidRPr="00057116">
        <w:rPr>
          <w:rFonts w:cs="Arial"/>
          <w:szCs w:val="22"/>
        </w:rPr>
        <w:t xml:space="preserve">hile </w:t>
      </w:r>
      <w:proofErr w:type="spellStart"/>
      <w:r w:rsidR="00057116" w:rsidRPr="00057116">
        <w:rPr>
          <w:rFonts w:cs="Arial"/>
          <w:szCs w:val="22"/>
        </w:rPr>
        <w:t>biopharma</w:t>
      </w:r>
      <w:proofErr w:type="spellEnd"/>
      <w:r w:rsidR="00057116" w:rsidRPr="00057116">
        <w:rPr>
          <w:rFonts w:cs="Arial"/>
          <w:szCs w:val="22"/>
        </w:rPr>
        <w:t xml:space="preserve"> companies continue to benefit from an era of increased drug approvals and healthy pipeline</w:t>
      </w:r>
      <w:r>
        <w:rPr>
          <w:rFonts w:cs="Arial"/>
          <w:szCs w:val="22"/>
        </w:rPr>
        <w:t>s</w:t>
      </w:r>
      <w:r w:rsidR="00057116" w:rsidRPr="00057116">
        <w:rPr>
          <w:rFonts w:cs="Arial"/>
          <w:szCs w:val="22"/>
        </w:rPr>
        <w:t>, the report identifies several industry challenges and considerations likely to drive M&amp;A in 2016 and beyond:</w:t>
      </w:r>
    </w:p>
    <w:p w:rsidR="00057116" w:rsidRDefault="00057116" w:rsidP="00057116">
      <w:pPr>
        <w:pStyle w:val="EYBodytextwithparaspace"/>
        <w:numPr>
          <w:ilvl w:val="0"/>
          <w:numId w:val="5"/>
        </w:numPr>
        <w:spacing w:after="240"/>
        <w:rPr>
          <w:rFonts w:cs="Arial"/>
          <w:szCs w:val="22"/>
        </w:rPr>
      </w:pPr>
      <w:r w:rsidRPr="00057116">
        <w:rPr>
          <w:rFonts w:cs="Arial"/>
          <w:b/>
          <w:szCs w:val="22"/>
        </w:rPr>
        <w:lastRenderedPageBreak/>
        <w:t>Payer consolidation may drive M&amp;A:</w:t>
      </w:r>
      <w:r w:rsidRPr="00057116">
        <w:rPr>
          <w:rFonts w:cs="Arial"/>
          <w:szCs w:val="22"/>
        </w:rPr>
        <w:t xml:space="preserve"> </w:t>
      </w:r>
      <w:r w:rsidR="00E8231D">
        <w:rPr>
          <w:rFonts w:cs="Arial"/>
          <w:szCs w:val="22"/>
        </w:rPr>
        <w:t xml:space="preserve">Major </w:t>
      </w:r>
      <w:r w:rsidRPr="00057116">
        <w:rPr>
          <w:rFonts w:cs="Arial"/>
          <w:szCs w:val="22"/>
        </w:rPr>
        <w:t>payer</w:t>
      </w:r>
      <w:r w:rsidR="00E8231D">
        <w:rPr>
          <w:rFonts w:cs="Arial"/>
          <w:szCs w:val="22"/>
        </w:rPr>
        <w:t xml:space="preserve"> mergers</w:t>
      </w:r>
      <w:r w:rsidRPr="00057116">
        <w:rPr>
          <w:rFonts w:cs="Arial"/>
          <w:szCs w:val="22"/>
        </w:rPr>
        <w:t xml:space="preserve"> and continued consolidation among pharmacy benefit managers</w:t>
      </w:r>
      <w:r w:rsidR="00E8231D">
        <w:rPr>
          <w:rFonts w:cs="Arial"/>
          <w:szCs w:val="22"/>
        </w:rPr>
        <w:t xml:space="preserve"> are</w:t>
      </w:r>
      <w:r w:rsidR="0011014D">
        <w:rPr>
          <w:rFonts w:cs="Arial"/>
          <w:szCs w:val="22"/>
        </w:rPr>
        <w:t xml:space="preserve"> </w:t>
      </w:r>
      <w:r w:rsidRPr="00057116">
        <w:rPr>
          <w:rFonts w:cs="Arial"/>
          <w:szCs w:val="22"/>
        </w:rPr>
        <w:t>bring</w:t>
      </w:r>
      <w:r w:rsidR="00E8231D">
        <w:rPr>
          <w:rFonts w:cs="Arial"/>
          <w:szCs w:val="22"/>
        </w:rPr>
        <w:t>ing</w:t>
      </w:r>
      <w:r w:rsidRPr="00057116">
        <w:rPr>
          <w:rFonts w:cs="Arial"/>
          <w:szCs w:val="22"/>
        </w:rPr>
        <w:t xml:space="preserve"> greater negotiating clout</w:t>
      </w:r>
      <w:r w:rsidR="00343ABA">
        <w:rPr>
          <w:rFonts w:cs="Arial"/>
          <w:szCs w:val="22"/>
        </w:rPr>
        <w:t>.</w:t>
      </w:r>
      <w:r w:rsidRPr="00057116">
        <w:rPr>
          <w:rFonts w:cs="Arial"/>
          <w:szCs w:val="22"/>
        </w:rPr>
        <w:t xml:space="preserve"> </w:t>
      </w:r>
      <w:r w:rsidR="00343ABA">
        <w:rPr>
          <w:rFonts w:cs="Arial"/>
          <w:szCs w:val="22"/>
        </w:rPr>
        <w:t>As a result</w:t>
      </w:r>
      <w:r w:rsidR="002B559C">
        <w:rPr>
          <w:rFonts w:cs="Arial"/>
          <w:szCs w:val="22"/>
        </w:rPr>
        <w:t>,</w:t>
      </w:r>
      <w:r w:rsidR="00343ABA">
        <w:rPr>
          <w:rFonts w:cs="Arial"/>
          <w:szCs w:val="22"/>
        </w:rPr>
        <w:t xml:space="preserve"> </w:t>
      </w:r>
      <w:proofErr w:type="spellStart"/>
      <w:r w:rsidR="00343ABA">
        <w:rPr>
          <w:rFonts w:cs="Arial"/>
          <w:szCs w:val="22"/>
        </w:rPr>
        <w:t>b</w:t>
      </w:r>
      <w:r w:rsidRPr="00057116">
        <w:rPr>
          <w:rFonts w:cs="Arial"/>
          <w:szCs w:val="22"/>
        </w:rPr>
        <w:t>iopharma</w:t>
      </w:r>
      <w:proofErr w:type="spellEnd"/>
      <w:r w:rsidR="00343ABA">
        <w:rPr>
          <w:rFonts w:cs="Arial"/>
          <w:szCs w:val="22"/>
        </w:rPr>
        <w:t xml:space="preserve"> firms </w:t>
      </w:r>
      <w:r w:rsidRPr="00057116">
        <w:rPr>
          <w:rFonts w:cs="Arial"/>
          <w:szCs w:val="22"/>
        </w:rPr>
        <w:t>may</w:t>
      </w:r>
      <w:r w:rsidR="0011014D">
        <w:rPr>
          <w:rFonts w:cs="Arial"/>
          <w:szCs w:val="22"/>
        </w:rPr>
        <w:t xml:space="preserve"> </w:t>
      </w:r>
      <w:r w:rsidRPr="00057116">
        <w:rPr>
          <w:rFonts w:cs="Arial"/>
          <w:szCs w:val="22"/>
        </w:rPr>
        <w:t>fac</w:t>
      </w:r>
      <w:r w:rsidR="00967087">
        <w:rPr>
          <w:rFonts w:cs="Arial"/>
          <w:szCs w:val="22"/>
        </w:rPr>
        <w:t>e</w:t>
      </w:r>
      <w:r w:rsidRPr="00057116">
        <w:rPr>
          <w:rFonts w:cs="Arial"/>
          <w:szCs w:val="22"/>
        </w:rPr>
        <w:t xml:space="preserve"> new sales growth </w:t>
      </w:r>
      <w:r w:rsidR="00967087">
        <w:rPr>
          <w:rFonts w:cs="Arial"/>
          <w:szCs w:val="22"/>
        </w:rPr>
        <w:t>challenges</w:t>
      </w:r>
      <w:r w:rsidRPr="00057116">
        <w:rPr>
          <w:rFonts w:cs="Arial"/>
          <w:szCs w:val="22"/>
        </w:rPr>
        <w:t xml:space="preserve"> </w:t>
      </w:r>
      <w:r w:rsidR="00967087">
        <w:rPr>
          <w:rFonts w:cs="Arial"/>
          <w:szCs w:val="22"/>
        </w:rPr>
        <w:t xml:space="preserve">necessitating </w:t>
      </w:r>
      <w:r w:rsidR="00E8231D">
        <w:rPr>
          <w:rFonts w:cs="Arial"/>
          <w:szCs w:val="22"/>
        </w:rPr>
        <w:t xml:space="preserve">M&amp;A by </w:t>
      </w:r>
      <w:r w:rsidRPr="00057116">
        <w:rPr>
          <w:rFonts w:cs="Arial"/>
          <w:szCs w:val="22"/>
        </w:rPr>
        <w:t>deploy</w:t>
      </w:r>
      <w:r w:rsidR="00E8231D">
        <w:rPr>
          <w:rFonts w:cs="Arial"/>
          <w:szCs w:val="22"/>
        </w:rPr>
        <w:t>ing</w:t>
      </w:r>
      <w:r w:rsidRPr="00057116">
        <w:rPr>
          <w:rFonts w:cs="Arial"/>
          <w:szCs w:val="22"/>
        </w:rPr>
        <w:t xml:space="preserve"> their firepower to close growth gaps. </w:t>
      </w:r>
    </w:p>
    <w:p w:rsidR="00057116" w:rsidRDefault="00057116" w:rsidP="00057116">
      <w:pPr>
        <w:pStyle w:val="EYBodytextwithparaspace"/>
        <w:numPr>
          <w:ilvl w:val="0"/>
          <w:numId w:val="6"/>
        </w:numPr>
        <w:spacing w:after="240"/>
        <w:rPr>
          <w:rFonts w:cs="Arial"/>
          <w:szCs w:val="22"/>
        </w:rPr>
      </w:pPr>
      <w:r w:rsidRPr="00057116">
        <w:rPr>
          <w:rFonts w:cs="Arial"/>
          <w:b/>
          <w:szCs w:val="22"/>
        </w:rPr>
        <w:t>Divestitures likely to continue:</w:t>
      </w:r>
      <w:r w:rsidRPr="00057116">
        <w:rPr>
          <w:rFonts w:cs="Arial"/>
          <w:szCs w:val="22"/>
        </w:rPr>
        <w:t xml:space="preserve"> Divestitures </w:t>
      </w:r>
      <w:r w:rsidR="00E8231D">
        <w:rPr>
          <w:rFonts w:cs="Arial"/>
          <w:szCs w:val="22"/>
        </w:rPr>
        <w:t xml:space="preserve">now account for about </w:t>
      </w:r>
      <w:r w:rsidR="00A41A3D">
        <w:rPr>
          <w:rFonts w:cs="Arial"/>
          <w:szCs w:val="22"/>
        </w:rPr>
        <w:t>25%</w:t>
      </w:r>
      <w:r w:rsidRPr="00057116">
        <w:rPr>
          <w:rFonts w:cs="Arial"/>
          <w:szCs w:val="22"/>
        </w:rPr>
        <w:t xml:space="preserve"> of aggregate M&amp;A value. A</w:t>
      </w:r>
      <w:r w:rsidR="00E8231D">
        <w:rPr>
          <w:rFonts w:cs="Arial"/>
          <w:szCs w:val="22"/>
        </w:rPr>
        <w:t>s</w:t>
      </w:r>
      <w:r w:rsidRPr="00057116">
        <w:rPr>
          <w:rFonts w:cs="Arial"/>
          <w:szCs w:val="22"/>
        </w:rPr>
        <w:t xml:space="preserve"> 2015</w:t>
      </w:r>
      <w:r w:rsidR="00E8231D">
        <w:rPr>
          <w:rFonts w:cs="Arial"/>
          <w:szCs w:val="22"/>
        </w:rPr>
        <w:t xml:space="preserve"> wound down,</w:t>
      </w:r>
      <w:r w:rsidRPr="00057116">
        <w:rPr>
          <w:rFonts w:cs="Arial"/>
          <w:szCs w:val="22"/>
        </w:rPr>
        <w:t xml:space="preserve"> divesting companies </w:t>
      </w:r>
      <w:r w:rsidR="00E8231D">
        <w:rPr>
          <w:rFonts w:cs="Arial"/>
          <w:szCs w:val="22"/>
        </w:rPr>
        <w:t>generated more</w:t>
      </w:r>
      <w:r w:rsidRPr="00057116">
        <w:rPr>
          <w:rFonts w:cs="Arial"/>
          <w:szCs w:val="22"/>
        </w:rPr>
        <w:t xml:space="preserve"> firepower </w:t>
      </w:r>
      <w:r w:rsidR="00E8231D">
        <w:rPr>
          <w:rFonts w:cs="Arial"/>
          <w:szCs w:val="22"/>
        </w:rPr>
        <w:t>than</w:t>
      </w:r>
      <w:r w:rsidRPr="00057116">
        <w:rPr>
          <w:rFonts w:cs="Arial"/>
          <w:szCs w:val="22"/>
        </w:rPr>
        <w:t xml:space="preserve"> their non-divesting counterparts and generated greater total shareholder return</w:t>
      </w:r>
      <w:r w:rsidR="00F43B56">
        <w:rPr>
          <w:rFonts w:cs="Arial"/>
          <w:szCs w:val="22"/>
        </w:rPr>
        <w:t>s</w:t>
      </w:r>
      <w:r w:rsidRPr="00057116">
        <w:rPr>
          <w:rFonts w:cs="Arial"/>
          <w:szCs w:val="22"/>
        </w:rPr>
        <w:t xml:space="preserve"> for investors. As portfolio</w:t>
      </w:r>
      <w:r w:rsidR="00F43B56">
        <w:rPr>
          <w:rFonts w:cs="Arial"/>
          <w:szCs w:val="22"/>
        </w:rPr>
        <w:t>s continue to</w:t>
      </w:r>
      <w:r w:rsidRPr="00057116">
        <w:rPr>
          <w:rFonts w:cs="Arial"/>
          <w:szCs w:val="22"/>
        </w:rPr>
        <w:t xml:space="preserve"> transform</w:t>
      </w:r>
      <w:r w:rsidR="00F43B56">
        <w:rPr>
          <w:rFonts w:cs="Arial"/>
          <w:szCs w:val="22"/>
        </w:rPr>
        <w:t xml:space="preserve">, </w:t>
      </w:r>
      <w:r w:rsidRPr="00057116">
        <w:rPr>
          <w:rFonts w:cs="Arial"/>
          <w:szCs w:val="22"/>
        </w:rPr>
        <w:t xml:space="preserve">divestitures </w:t>
      </w:r>
      <w:r w:rsidR="00E8231D">
        <w:rPr>
          <w:rFonts w:cs="Arial"/>
          <w:szCs w:val="22"/>
        </w:rPr>
        <w:t>sh</w:t>
      </w:r>
      <w:r w:rsidRPr="00057116">
        <w:rPr>
          <w:rFonts w:cs="Arial"/>
          <w:szCs w:val="22"/>
        </w:rPr>
        <w:t xml:space="preserve">ould </w:t>
      </w:r>
      <w:r w:rsidR="00E8231D">
        <w:rPr>
          <w:rFonts w:cs="Arial"/>
          <w:szCs w:val="22"/>
        </w:rPr>
        <w:t xml:space="preserve">continue to </w:t>
      </w:r>
      <w:r w:rsidRPr="00057116">
        <w:rPr>
          <w:rFonts w:cs="Arial"/>
          <w:szCs w:val="22"/>
        </w:rPr>
        <w:t>account for</w:t>
      </w:r>
      <w:r w:rsidR="00E8231D">
        <w:rPr>
          <w:rFonts w:cs="Arial"/>
          <w:szCs w:val="22"/>
        </w:rPr>
        <w:t xml:space="preserve"> around 25% of M&amp;A in 2016.</w:t>
      </w:r>
    </w:p>
    <w:p w:rsidR="00057116" w:rsidRDefault="00057116" w:rsidP="00057116">
      <w:pPr>
        <w:pStyle w:val="EYBodytextwithparaspace"/>
        <w:numPr>
          <w:ilvl w:val="0"/>
          <w:numId w:val="6"/>
        </w:numPr>
        <w:spacing w:after="240"/>
        <w:rPr>
          <w:rFonts w:cs="Arial"/>
          <w:szCs w:val="22"/>
        </w:rPr>
      </w:pPr>
      <w:proofErr w:type="spellStart"/>
      <w:r w:rsidRPr="00057116">
        <w:rPr>
          <w:rFonts w:cs="Arial"/>
          <w:b/>
          <w:szCs w:val="22"/>
        </w:rPr>
        <w:t>Biotechs</w:t>
      </w:r>
      <w:proofErr w:type="spellEnd"/>
      <w:r w:rsidRPr="00057116">
        <w:rPr>
          <w:rFonts w:cs="Arial"/>
          <w:b/>
          <w:szCs w:val="22"/>
        </w:rPr>
        <w:t xml:space="preserve"> to start dealing:</w:t>
      </w:r>
      <w:r w:rsidRPr="00057116">
        <w:rPr>
          <w:rFonts w:cs="Arial"/>
          <w:szCs w:val="22"/>
        </w:rPr>
        <w:t xml:space="preserve"> Payer pressure and competition in therapeutic battle</w:t>
      </w:r>
      <w:r w:rsidR="00D37438">
        <w:rPr>
          <w:rFonts w:cs="Arial"/>
          <w:szCs w:val="22"/>
        </w:rPr>
        <w:t>grounds</w:t>
      </w:r>
      <w:r w:rsidRPr="00057116">
        <w:rPr>
          <w:rFonts w:cs="Arial"/>
          <w:szCs w:val="22"/>
        </w:rPr>
        <w:t xml:space="preserve"> will increase the likelihood of biotech</w:t>
      </w:r>
      <w:r w:rsidR="00F43B56">
        <w:rPr>
          <w:rFonts w:cs="Arial"/>
          <w:szCs w:val="22"/>
        </w:rPr>
        <w:t xml:space="preserve"> M&amp;A </w:t>
      </w:r>
      <w:r w:rsidR="00C82B21">
        <w:rPr>
          <w:rFonts w:cs="Arial"/>
          <w:szCs w:val="22"/>
        </w:rPr>
        <w:t>exceeding</w:t>
      </w:r>
      <w:r w:rsidR="00F43B56">
        <w:rPr>
          <w:rFonts w:cs="Arial"/>
          <w:szCs w:val="22"/>
        </w:rPr>
        <w:t xml:space="preserve"> 2015’s</w:t>
      </w:r>
      <w:r w:rsidR="006961C8">
        <w:rPr>
          <w:rFonts w:cs="Arial"/>
          <w:szCs w:val="22"/>
        </w:rPr>
        <w:t xml:space="preserve"> US$25b</w:t>
      </w:r>
      <w:r w:rsidR="00F43B56">
        <w:rPr>
          <w:rFonts w:cs="Arial"/>
          <w:szCs w:val="22"/>
        </w:rPr>
        <w:t xml:space="preserve"> outlay</w:t>
      </w:r>
      <w:r w:rsidRPr="00057116">
        <w:rPr>
          <w:rFonts w:cs="Arial"/>
          <w:szCs w:val="22"/>
        </w:rPr>
        <w:t>.</w:t>
      </w:r>
      <w:r w:rsidR="006826C2">
        <w:rPr>
          <w:rFonts w:cs="Arial"/>
          <w:szCs w:val="22"/>
        </w:rPr>
        <w:t xml:space="preserve"> Moreover, big biotech</w:t>
      </w:r>
      <w:r w:rsidR="002B559C">
        <w:rPr>
          <w:rFonts w:cs="Arial"/>
          <w:szCs w:val="22"/>
        </w:rPr>
        <w:t>’s</w:t>
      </w:r>
      <w:r w:rsidR="006826C2">
        <w:rPr>
          <w:rFonts w:cs="Arial"/>
          <w:szCs w:val="22"/>
        </w:rPr>
        <w:t xml:space="preserve"> firepower reached record value and market share </w:t>
      </w:r>
      <w:r w:rsidR="00727075">
        <w:rPr>
          <w:rFonts w:cs="Arial"/>
          <w:szCs w:val="22"/>
        </w:rPr>
        <w:t>in 2015</w:t>
      </w:r>
      <w:r w:rsidR="00F867A7">
        <w:rPr>
          <w:rFonts w:cs="Arial"/>
          <w:szCs w:val="22"/>
        </w:rPr>
        <w:t>,</w:t>
      </w:r>
      <w:r w:rsidR="00727075">
        <w:rPr>
          <w:rFonts w:cs="Arial"/>
          <w:szCs w:val="22"/>
        </w:rPr>
        <w:t xml:space="preserve"> </w:t>
      </w:r>
      <w:r w:rsidR="006826C2">
        <w:rPr>
          <w:rFonts w:cs="Arial"/>
          <w:szCs w:val="22"/>
        </w:rPr>
        <w:t xml:space="preserve">supporting </w:t>
      </w:r>
      <w:r w:rsidR="00727075">
        <w:rPr>
          <w:rFonts w:cs="Arial"/>
          <w:szCs w:val="22"/>
        </w:rPr>
        <w:t xml:space="preserve">a </w:t>
      </w:r>
      <w:r w:rsidR="006826C2">
        <w:rPr>
          <w:rFonts w:cs="Arial"/>
          <w:szCs w:val="22"/>
        </w:rPr>
        <w:t xml:space="preserve">robust deal outlook </w:t>
      </w:r>
      <w:r w:rsidR="00727075">
        <w:rPr>
          <w:rFonts w:cs="Arial"/>
          <w:szCs w:val="22"/>
        </w:rPr>
        <w:t>for</w:t>
      </w:r>
      <w:r w:rsidR="006826C2">
        <w:rPr>
          <w:rFonts w:cs="Arial"/>
          <w:szCs w:val="22"/>
        </w:rPr>
        <w:t xml:space="preserve"> 2016. </w:t>
      </w:r>
    </w:p>
    <w:p w:rsidR="00F251DC" w:rsidRDefault="00057116" w:rsidP="00322B29">
      <w:pPr>
        <w:pStyle w:val="EYBodytextwithparaspace"/>
        <w:spacing w:after="240"/>
        <w:rPr>
          <w:rFonts w:cs="Arial"/>
          <w:szCs w:val="22"/>
        </w:rPr>
      </w:pPr>
      <w:r w:rsidRPr="00057116">
        <w:rPr>
          <w:rFonts w:cs="Arial"/>
          <w:szCs w:val="22"/>
        </w:rPr>
        <w:t>Jeffrey Greene, EY’s Global Life Sciences Transaction Advisory Services Leader, says:</w:t>
      </w:r>
      <w:r w:rsidR="00A41A3D">
        <w:rPr>
          <w:rFonts w:cs="Arial"/>
          <w:szCs w:val="22"/>
        </w:rPr>
        <w:t xml:space="preserve"> </w:t>
      </w:r>
      <w:r w:rsidRPr="00057116">
        <w:rPr>
          <w:rFonts w:cs="Arial"/>
          <w:szCs w:val="22"/>
        </w:rPr>
        <w:t>“The drivers of industry M&amp;A in 2015, including payer consolidation, rising health care costs and companies’ growth im</w:t>
      </w:r>
      <w:r w:rsidR="006961C8">
        <w:rPr>
          <w:rFonts w:cs="Arial"/>
          <w:szCs w:val="22"/>
        </w:rPr>
        <w:t>peratives, are only intensifying. T</w:t>
      </w:r>
      <w:r w:rsidRPr="00057116">
        <w:rPr>
          <w:rFonts w:cs="Arial"/>
          <w:szCs w:val="22"/>
        </w:rPr>
        <w:t>hese pressures may make the lofty heights of US$200b in annual M&amp;A the new normal for the foreseeable future. We expect deals targeting narrower therapeutic battlegrounds, geographi</w:t>
      </w:r>
      <w:r w:rsidR="006961C8">
        <w:rPr>
          <w:rFonts w:cs="Arial"/>
          <w:szCs w:val="22"/>
        </w:rPr>
        <w:t xml:space="preserve">c strongholds and portfolio </w:t>
      </w:r>
      <w:r w:rsidR="00F43B56">
        <w:rPr>
          <w:rFonts w:cs="Arial"/>
          <w:szCs w:val="22"/>
        </w:rPr>
        <w:t>rationalization</w:t>
      </w:r>
      <w:r w:rsidR="00F43B56" w:rsidRPr="00057116">
        <w:rPr>
          <w:rFonts w:cs="Arial"/>
          <w:szCs w:val="22"/>
        </w:rPr>
        <w:t xml:space="preserve"> </w:t>
      </w:r>
      <w:r w:rsidRPr="00057116">
        <w:rPr>
          <w:rFonts w:cs="Arial"/>
          <w:szCs w:val="22"/>
        </w:rPr>
        <w:t>to drive the 2016 M&amp;</w:t>
      </w:r>
      <w:proofErr w:type="gramStart"/>
      <w:r w:rsidRPr="00057116">
        <w:rPr>
          <w:rFonts w:cs="Arial"/>
          <w:szCs w:val="22"/>
        </w:rPr>
        <w:t>A</w:t>
      </w:r>
      <w:proofErr w:type="gramEnd"/>
      <w:r w:rsidRPr="00057116">
        <w:rPr>
          <w:rFonts w:cs="Arial"/>
          <w:szCs w:val="22"/>
        </w:rPr>
        <w:t xml:space="preserve"> agenda.”</w:t>
      </w:r>
    </w:p>
    <w:p w:rsidR="00F251DC" w:rsidRPr="00F251DC" w:rsidRDefault="00F251DC" w:rsidP="00F251DC">
      <w:pPr>
        <w:pStyle w:val="EYBodytextwithparaspace"/>
        <w:spacing w:after="240"/>
        <w:rPr>
          <w:rFonts w:cs="Arial"/>
          <w:szCs w:val="22"/>
          <w:lang w:val="en-US"/>
        </w:rPr>
      </w:pPr>
      <w:r w:rsidRPr="00F251DC">
        <w:rPr>
          <w:rFonts w:cs="Arial"/>
          <w:b/>
          <w:szCs w:val="22"/>
          <w:lang w:val="en-US"/>
        </w:rPr>
        <w:t>Dmitry Khalilov, EY Partner and Life Sciences Leader in Russia and CIS</w:t>
      </w:r>
      <w:r w:rsidRPr="00F251DC">
        <w:rPr>
          <w:rFonts w:cs="Arial"/>
          <w:szCs w:val="22"/>
          <w:lang w:val="en-US"/>
        </w:rPr>
        <w:t>, adds: “Russia is not left on the sidelines in the global trend towards greater M&amp;A activity, with consolidation observed across the entire industry – from retailers to manufacturers and R&amp;D players. Foreign pharmaceutical companies are aggressively targeting opportunities to acquire both businesses and new products, including medicines at different stages in the developmental pipeline. Russian companies are equally interested in acquisition opportunities, as they may now benefit from government support for local manufacturers.”</w:t>
      </w:r>
    </w:p>
    <w:p w:rsidR="00F251DC" w:rsidRPr="00A61FE2" w:rsidRDefault="00F251DC" w:rsidP="00F251DC">
      <w:pPr>
        <w:spacing w:line="360" w:lineRule="auto"/>
        <w:rPr>
          <w:rFonts w:cs="Arial"/>
          <w:b/>
          <w:bCs/>
          <w:sz w:val="18"/>
          <w:szCs w:val="18"/>
        </w:rPr>
      </w:pPr>
      <w:r w:rsidRPr="00A61FE2">
        <w:rPr>
          <w:rFonts w:cs="Arial"/>
          <w:b/>
          <w:bCs/>
          <w:sz w:val="18"/>
          <w:szCs w:val="18"/>
        </w:rPr>
        <w:t>About EY</w:t>
      </w:r>
    </w:p>
    <w:p w:rsidR="00F251DC" w:rsidRDefault="00F251DC" w:rsidP="00F251DC">
      <w:pPr>
        <w:spacing w:line="360" w:lineRule="auto"/>
        <w:rPr>
          <w:rFonts w:cs="Arial"/>
          <w:bCs/>
          <w:sz w:val="18"/>
          <w:szCs w:val="18"/>
        </w:rPr>
      </w:pPr>
      <w:r w:rsidRPr="00DD31B9">
        <w:rPr>
          <w:rFonts w:cs="Arial"/>
          <w:bCs/>
          <w:sz w:val="18"/>
          <w:szCs w:val="18"/>
        </w:rPr>
        <w:t>EY is a global leader in assurance, tax, transaction and advisory services. The insights and quality services we deliver help build trust and confidence in the capital markets and in economies the world over. We develop outstanding leaders who team to deliver on our promises to all of our stakeholders. In so doing, we play a critical role in building a better working world for our people, for our clients and for our communities.</w:t>
      </w:r>
    </w:p>
    <w:p w:rsidR="00F251DC" w:rsidRPr="00DD31B9" w:rsidRDefault="00F251DC" w:rsidP="00F251DC">
      <w:pPr>
        <w:spacing w:line="360" w:lineRule="auto"/>
        <w:rPr>
          <w:rFonts w:cs="Arial"/>
          <w:bCs/>
          <w:sz w:val="18"/>
          <w:szCs w:val="18"/>
        </w:rPr>
      </w:pPr>
    </w:p>
    <w:p w:rsidR="00F251DC" w:rsidRDefault="00F251DC" w:rsidP="00F251DC">
      <w:pPr>
        <w:spacing w:line="360" w:lineRule="auto"/>
        <w:rPr>
          <w:rFonts w:cs="Arial"/>
          <w:bCs/>
          <w:sz w:val="18"/>
          <w:szCs w:val="18"/>
        </w:rPr>
      </w:pPr>
      <w:r w:rsidRPr="00DD31B9">
        <w:rPr>
          <w:rFonts w:cs="Arial"/>
          <w:bCs/>
          <w:sz w:val="18"/>
          <w:szCs w:val="18"/>
        </w:rPr>
        <w:lastRenderedPageBreak/>
        <w:t xml:space="preserve">EY works together with companies across the CIS and assists them in realizing their business goals. 4,500 professionals work at 20 CIS offices (in Moscow, St. Petersburg, Novosibirsk, Ekaterinburg, Kazan, Krasnodar, Rostov-on-Don, Togliatti, Vladivostok, </w:t>
      </w:r>
      <w:proofErr w:type="spellStart"/>
      <w:r w:rsidRPr="00DD31B9">
        <w:rPr>
          <w:rFonts w:cs="Arial"/>
          <w:bCs/>
          <w:sz w:val="18"/>
          <w:szCs w:val="18"/>
        </w:rPr>
        <w:t>Yuzhno-Sakhalinsk</w:t>
      </w:r>
      <w:proofErr w:type="spellEnd"/>
      <w:r w:rsidRPr="00DD31B9">
        <w:rPr>
          <w:rFonts w:cs="Arial"/>
          <w:bCs/>
          <w:sz w:val="18"/>
          <w:szCs w:val="18"/>
        </w:rPr>
        <w:t xml:space="preserve">, Almaty, Astana, </w:t>
      </w:r>
      <w:proofErr w:type="spellStart"/>
      <w:r w:rsidRPr="00DD31B9">
        <w:rPr>
          <w:rFonts w:cs="Arial"/>
          <w:bCs/>
          <w:sz w:val="18"/>
          <w:szCs w:val="18"/>
        </w:rPr>
        <w:t>Atyrau</w:t>
      </w:r>
      <w:proofErr w:type="spellEnd"/>
      <w:r w:rsidRPr="00DD31B9">
        <w:rPr>
          <w:rFonts w:cs="Arial"/>
          <w:bCs/>
          <w:sz w:val="18"/>
          <w:szCs w:val="18"/>
        </w:rPr>
        <w:t xml:space="preserve">, Bishkek, Baku, Kyiv, Tashkent, Tbilisi, Yerevan, and Minsk). </w:t>
      </w:r>
    </w:p>
    <w:p w:rsidR="00F251DC" w:rsidRPr="00DD31B9" w:rsidRDefault="00F251DC" w:rsidP="00F251DC">
      <w:pPr>
        <w:spacing w:line="360" w:lineRule="auto"/>
        <w:rPr>
          <w:rFonts w:cs="Arial"/>
          <w:bCs/>
          <w:sz w:val="18"/>
          <w:szCs w:val="18"/>
        </w:rPr>
      </w:pPr>
    </w:p>
    <w:p w:rsidR="00F251DC" w:rsidRDefault="00F251DC" w:rsidP="00F251DC">
      <w:pPr>
        <w:spacing w:line="360" w:lineRule="auto"/>
        <w:rPr>
          <w:rFonts w:cs="Arial"/>
          <w:bCs/>
          <w:sz w:val="18"/>
          <w:szCs w:val="18"/>
        </w:rPr>
      </w:pPr>
      <w:r w:rsidRPr="00DD31B9">
        <w:rPr>
          <w:rFonts w:cs="Arial"/>
          <w:bCs/>
          <w:sz w:val="18"/>
          <w:szCs w:val="18"/>
        </w:rPr>
        <w:t>EY refers to the global organization, and may refer to one or more, of the member firms of Ernst &amp; Young Global Limited, each of which is a separate legal entity. Ernst &amp; Young Global Limited, a UK company limited by guarantee, does not provide services to clients. For more information about our organization, please visit ey.com.</w:t>
      </w:r>
    </w:p>
    <w:p w:rsidR="00F251DC" w:rsidRPr="00DD31B9" w:rsidRDefault="00F251DC" w:rsidP="00F251DC">
      <w:pPr>
        <w:spacing w:line="360" w:lineRule="auto"/>
        <w:rPr>
          <w:rFonts w:cs="Arial"/>
          <w:bCs/>
          <w:sz w:val="18"/>
          <w:szCs w:val="18"/>
        </w:rPr>
      </w:pPr>
    </w:p>
    <w:p w:rsidR="00CF3EF8" w:rsidRDefault="00F251DC" w:rsidP="00F251DC">
      <w:pPr>
        <w:pStyle w:val="EYBodytextwithparaspace"/>
        <w:spacing w:after="0"/>
        <w:rPr>
          <w:rFonts w:cs="Arial"/>
          <w:bCs/>
          <w:i/>
          <w:sz w:val="18"/>
          <w:szCs w:val="18"/>
        </w:rPr>
      </w:pPr>
      <w:r w:rsidRPr="00DD31B9">
        <w:rPr>
          <w:rFonts w:cs="Arial"/>
          <w:bCs/>
          <w:i/>
          <w:sz w:val="18"/>
          <w:szCs w:val="18"/>
        </w:rPr>
        <w:t>This news release has been issued by EYGM Limited, a member of the global EY organization that also does not provide any services to clients.</w:t>
      </w:r>
    </w:p>
    <w:p w:rsidR="00F251DC" w:rsidRDefault="00F251DC" w:rsidP="00F251DC">
      <w:pPr>
        <w:pStyle w:val="EYBodytextwithparaspace"/>
        <w:spacing w:after="0"/>
        <w:rPr>
          <w:rFonts w:cs="Arial"/>
          <w:b/>
          <w:sz w:val="18"/>
          <w:szCs w:val="18"/>
        </w:rPr>
      </w:pPr>
    </w:p>
    <w:p w:rsidR="004C65DA" w:rsidRDefault="004C65DA" w:rsidP="004C65DA">
      <w:pPr>
        <w:pStyle w:val="EYBodytextwithparaspace"/>
        <w:spacing w:after="0"/>
        <w:rPr>
          <w:rFonts w:cs="Arial"/>
          <w:b/>
          <w:sz w:val="18"/>
          <w:szCs w:val="18"/>
        </w:rPr>
      </w:pPr>
      <w:r w:rsidRPr="00D952F9">
        <w:rPr>
          <w:rFonts w:cs="Arial"/>
          <w:b/>
          <w:sz w:val="18"/>
          <w:szCs w:val="18"/>
        </w:rPr>
        <w:t xml:space="preserve">About </w:t>
      </w:r>
      <w:r>
        <w:rPr>
          <w:rFonts w:cs="Arial"/>
          <w:b/>
          <w:sz w:val="18"/>
          <w:szCs w:val="18"/>
        </w:rPr>
        <w:t>t</w:t>
      </w:r>
      <w:r w:rsidRPr="00F753BB">
        <w:rPr>
          <w:rFonts w:cs="Arial"/>
          <w:b/>
          <w:sz w:val="18"/>
          <w:szCs w:val="18"/>
        </w:rPr>
        <w:t>he</w:t>
      </w:r>
      <w:r w:rsidRPr="00296D6D">
        <w:rPr>
          <w:b/>
          <w:i/>
          <w:sz w:val="18"/>
        </w:rPr>
        <w:t xml:space="preserve"> </w:t>
      </w:r>
      <w:r w:rsidRPr="00F753BB">
        <w:rPr>
          <w:b/>
          <w:sz w:val="18"/>
        </w:rPr>
        <w:t>EY</w:t>
      </w:r>
      <w:r w:rsidRPr="00296D6D">
        <w:rPr>
          <w:b/>
          <w:i/>
          <w:sz w:val="18"/>
        </w:rPr>
        <w:t xml:space="preserve"> </w:t>
      </w:r>
      <w:r w:rsidRPr="002B3960">
        <w:rPr>
          <w:b/>
          <w:i/>
          <w:sz w:val="18"/>
        </w:rPr>
        <w:t>Firepower Index</w:t>
      </w:r>
    </w:p>
    <w:p w:rsidR="004C65DA" w:rsidRPr="001570D3" w:rsidRDefault="004C65DA" w:rsidP="004C65DA">
      <w:pPr>
        <w:pStyle w:val="EYBodytextwithparaspace"/>
        <w:spacing w:after="0"/>
        <w:rPr>
          <w:rFonts w:cs="Arial"/>
          <w:sz w:val="18"/>
          <w:szCs w:val="18"/>
        </w:rPr>
      </w:pPr>
      <w:r>
        <w:rPr>
          <w:rFonts w:cs="Arial"/>
          <w:sz w:val="18"/>
          <w:szCs w:val="18"/>
        </w:rPr>
        <w:t>Now in its fourth</w:t>
      </w:r>
      <w:r w:rsidRPr="001570D3">
        <w:rPr>
          <w:rFonts w:cs="Arial"/>
          <w:sz w:val="18"/>
          <w:szCs w:val="18"/>
        </w:rPr>
        <w:t xml:space="preserve"> year, the </w:t>
      </w:r>
      <w:r w:rsidRPr="00BE6861">
        <w:rPr>
          <w:sz w:val="18"/>
        </w:rPr>
        <w:t xml:space="preserve">EY </w:t>
      </w:r>
      <w:r w:rsidRPr="002B3960">
        <w:rPr>
          <w:i/>
          <w:sz w:val="18"/>
        </w:rPr>
        <w:t>Firepower Index</w:t>
      </w:r>
      <w:r w:rsidRPr="001570D3">
        <w:rPr>
          <w:rFonts w:cs="Arial"/>
          <w:sz w:val="18"/>
          <w:szCs w:val="18"/>
        </w:rPr>
        <w:t xml:space="preserve"> measures companies’ capacity to fund transactions based on the strength of their balance sheets. It has four key inputs: 1. </w:t>
      </w:r>
      <w:r>
        <w:rPr>
          <w:rFonts w:cs="Arial"/>
          <w:sz w:val="18"/>
          <w:szCs w:val="18"/>
        </w:rPr>
        <w:t>C</w:t>
      </w:r>
      <w:r w:rsidRPr="001570D3">
        <w:rPr>
          <w:rFonts w:cs="Arial"/>
          <w:sz w:val="18"/>
          <w:szCs w:val="18"/>
        </w:rPr>
        <w:t xml:space="preserve">ash and equivalents; 2. </w:t>
      </w:r>
      <w:r>
        <w:rPr>
          <w:rFonts w:cs="Arial"/>
          <w:sz w:val="18"/>
          <w:szCs w:val="18"/>
        </w:rPr>
        <w:t>E</w:t>
      </w:r>
      <w:r w:rsidRPr="001570D3">
        <w:rPr>
          <w:rFonts w:cs="Arial"/>
          <w:sz w:val="18"/>
          <w:szCs w:val="18"/>
        </w:rPr>
        <w:t>xisting debt; 3</w:t>
      </w:r>
      <w:r>
        <w:rPr>
          <w:rFonts w:cs="Arial"/>
          <w:sz w:val="18"/>
          <w:szCs w:val="18"/>
        </w:rPr>
        <w:t>. Debt capacity, including credit lines</w:t>
      </w:r>
      <w:r w:rsidRPr="001570D3">
        <w:rPr>
          <w:rFonts w:cs="Arial"/>
          <w:sz w:val="18"/>
          <w:szCs w:val="18"/>
        </w:rPr>
        <w:t xml:space="preserve">; </w:t>
      </w:r>
      <w:r>
        <w:rPr>
          <w:rFonts w:cs="Arial"/>
          <w:sz w:val="18"/>
          <w:szCs w:val="18"/>
        </w:rPr>
        <w:t>and</w:t>
      </w:r>
      <w:r w:rsidRPr="001570D3">
        <w:rPr>
          <w:rFonts w:cs="Arial"/>
          <w:sz w:val="18"/>
          <w:szCs w:val="18"/>
        </w:rPr>
        <w:t xml:space="preserve"> 4. </w:t>
      </w:r>
      <w:r>
        <w:rPr>
          <w:rFonts w:cs="Arial"/>
          <w:sz w:val="18"/>
          <w:szCs w:val="18"/>
        </w:rPr>
        <w:t>M</w:t>
      </w:r>
      <w:r w:rsidRPr="001570D3">
        <w:rPr>
          <w:rFonts w:cs="Arial"/>
          <w:sz w:val="18"/>
          <w:szCs w:val="18"/>
        </w:rPr>
        <w:t xml:space="preserve">arket capitalization. In constructing the model, the following assumptions were made: first, a company will not acquire targets that exceed 50% of its existing market capitalization; second, the debt/equity ratio of the combined entity created by a transaction cannot exceed 30%. </w:t>
      </w:r>
    </w:p>
    <w:p w:rsidR="004C65DA" w:rsidRDefault="004C65DA" w:rsidP="004C65DA">
      <w:pPr>
        <w:pStyle w:val="EYBodytextwithparaspace"/>
        <w:spacing w:after="0"/>
        <w:rPr>
          <w:rFonts w:cs="Arial"/>
          <w:sz w:val="18"/>
          <w:szCs w:val="18"/>
        </w:rPr>
      </w:pPr>
    </w:p>
    <w:p w:rsidR="004C65DA" w:rsidRDefault="004C65DA" w:rsidP="004C65DA">
      <w:pPr>
        <w:pStyle w:val="EYBodytextwithparaspace"/>
        <w:spacing w:after="0"/>
        <w:rPr>
          <w:rFonts w:cs="Arial"/>
          <w:sz w:val="18"/>
          <w:szCs w:val="18"/>
        </w:rPr>
      </w:pPr>
      <w:r w:rsidRPr="001570D3">
        <w:rPr>
          <w:rFonts w:cs="Arial"/>
          <w:sz w:val="18"/>
          <w:szCs w:val="18"/>
        </w:rPr>
        <w:t xml:space="preserve">While some pharma companies have made acquisitions that go beyond these upper limits, our intent is to apply a uniform methodology to measure relative changes in firepower. The </w:t>
      </w:r>
      <w:r w:rsidRPr="002B3960">
        <w:rPr>
          <w:i/>
          <w:sz w:val="18"/>
        </w:rPr>
        <w:t>Firepower Index</w:t>
      </w:r>
      <w:r w:rsidRPr="001570D3">
        <w:rPr>
          <w:rFonts w:cs="Arial"/>
          <w:sz w:val="18"/>
          <w:szCs w:val="18"/>
        </w:rPr>
        <w:t xml:space="preserve"> measures capacity to conduct M&amp;A transactions financed with cash or debt. It does not measure the ability to conduct stock-for-stock transactions.</w:t>
      </w:r>
      <w:r>
        <w:rPr>
          <w:rFonts w:cs="Arial"/>
          <w:sz w:val="18"/>
          <w:szCs w:val="18"/>
        </w:rPr>
        <w:t xml:space="preserve"> However, increases in a company’s stock price do boost its firepower under the EY </w:t>
      </w:r>
      <w:r w:rsidRPr="002B3960">
        <w:rPr>
          <w:rFonts w:cs="Arial"/>
          <w:i/>
          <w:sz w:val="18"/>
          <w:szCs w:val="18"/>
        </w:rPr>
        <w:t>Firepower Index’s</w:t>
      </w:r>
      <w:r>
        <w:rPr>
          <w:rFonts w:cs="Arial"/>
          <w:sz w:val="18"/>
          <w:szCs w:val="18"/>
        </w:rPr>
        <w:t xml:space="preserve"> formula. That is because equity enables companies to borrow more to finance transactions.</w:t>
      </w:r>
      <w:r w:rsidRPr="001570D3">
        <w:rPr>
          <w:rFonts w:cs="Arial"/>
          <w:sz w:val="18"/>
          <w:szCs w:val="18"/>
        </w:rPr>
        <w:t xml:space="preserve"> </w:t>
      </w:r>
    </w:p>
    <w:p w:rsidR="004C65DA" w:rsidRDefault="004C65DA" w:rsidP="004C65DA">
      <w:pPr>
        <w:pStyle w:val="EYBodytextwithparaspace"/>
        <w:spacing w:after="0"/>
        <w:rPr>
          <w:rFonts w:cs="Arial"/>
          <w:sz w:val="18"/>
          <w:szCs w:val="18"/>
        </w:rPr>
      </w:pPr>
    </w:p>
    <w:p w:rsidR="004C65DA" w:rsidRDefault="004C65DA" w:rsidP="004C65DA">
      <w:pPr>
        <w:pStyle w:val="EYBodytextwithparaspace"/>
        <w:spacing w:after="0"/>
        <w:rPr>
          <w:rFonts w:cs="Arial"/>
          <w:sz w:val="18"/>
          <w:szCs w:val="18"/>
        </w:rPr>
      </w:pPr>
      <w:r>
        <w:rPr>
          <w:rFonts w:cs="Arial"/>
          <w:sz w:val="18"/>
          <w:szCs w:val="18"/>
        </w:rPr>
        <w:t>In our</w:t>
      </w:r>
      <w:r w:rsidRPr="001570D3">
        <w:rPr>
          <w:rFonts w:cs="Arial"/>
          <w:sz w:val="18"/>
          <w:szCs w:val="18"/>
        </w:rPr>
        <w:t xml:space="preserve"> report, companies were classified as big pharma, specialty pharma/generics or big biotech based on their size, geographic reach and product portfolio. Seventeen big pharma companies were </w:t>
      </w:r>
      <w:proofErr w:type="spellStart"/>
      <w:r w:rsidRPr="001570D3">
        <w:rPr>
          <w:rFonts w:cs="Arial"/>
          <w:sz w:val="18"/>
          <w:szCs w:val="18"/>
        </w:rPr>
        <w:t>an</w:t>
      </w:r>
      <w:r>
        <w:rPr>
          <w:rFonts w:cs="Arial"/>
          <w:sz w:val="18"/>
          <w:szCs w:val="18"/>
        </w:rPr>
        <w:t>alyzed</w:t>
      </w:r>
      <w:proofErr w:type="spellEnd"/>
      <w:r>
        <w:rPr>
          <w:rFonts w:cs="Arial"/>
          <w:sz w:val="18"/>
          <w:szCs w:val="18"/>
        </w:rPr>
        <w:t xml:space="preserve"> for this report, while 10</w:t>
      </w:r>
      <w:r w:rsidRPr="001570D3">
        <w:rPr>
          <w:rFonts w:cs="Arial"/>
          <w:sz w:val="18"/>
          <w:szCs w:val="18"/>
        </w:rPr>
        <w:t xml:space="preserve"> specia</w:t>
      </w:r>
      <w:r>
        <w:rPr>
          <w:rFonts w:cs="Arial"/>
          <w:sz w:val="18"/>
          <w:szCs w:val="18"/>
        </w:rPr>
        <w:t xml:space="preserve">lty pharma/generics firms and 11 </w:t>
      </w:r>
      <w:r w:rsidRPr="001570D3">
        <w:rPr>
          <w:rFonts w:cs="Arial"/>
          <w:sz w:val="18"/>
          <w:szCs w:val="18"/>
        </w:rPr>
        <w:t xml:space="preserve">big </w:t>
      </w:r>
      <w:proofErr w:type="spellStart"/>
      <w:r w:rsidRPr="001570D3">
        <w:rPr>
          <w:rFonts w:cs="Arial"/>
          <w:sz w:val="18"/>
          <w:szCs w:val="18"/>
        </w:rPr>
        <w:t>biotechs</w:t>
      </w:r>
      <w:proofErr w:type="spellEnd"/>
      <w:r w:rsidRPr="001570D3">
        <w:rPr>
          <w:rFonts w:cs="Arial"/>
          <w:sz w:val="18"/>
          <w:szCs w:val="18"/>
        </w:rPr>
        <w:t xml:space="preserve"> were included.</w:t>
      </w:r>
    </w:p>
    <w:p w:rsidR="004C65DA" w:rsidRDefault="004C65DA" w:rsidP="004C65DA">
      <w:pPr>
        <w:pStyle w:val="EYBodytextwithparaspace"/>
        <w:spacing w:after="0"/>
        <w:rPr>
          <w:rFonts w:cs="Arial"/>
          <w:sz w:val="18"/>
          <w:szCs w:val="18"/>
        </w:rPr>
      </w:pPr>
    </w:p>
    <w:p w:rsidR="004C65DA" w:rsidRPr="006961C8" w:rsidRDefault="00633015" w:rsidP="004C65DA">
      <w:pPr>
        <w:pStyle w:val="EYBodytextwithparaspace"/>
        <w:spacing w:after="0"/>
        <w:rPr>
          <w:rFonts w:cs="Arial"/>
          <w:sz w:val="18"/>
          <w:szCs w:val="18"/>
        </w:rPr>
      </w:pPr>
      <w:hyperlink r:id="rId14" w:history="1">
        <w:proofErr w:type="gramStart"/>
        <w:r w:rsidR="004C65DA" w:rsidRPr="006B279D">
          <w:rPr>
            <w:rStyle w:val="Hyperlink"/>
            <w:rFonts w:cs="Arial"/>
            <w:sz w:val="18"/>
            <w:szCs w:val="18"/>
          </w:rPr>
          <w:t>ey.com/</w:t>
        </w:r>
        <w:proofErr w:type="spellStart"/>
        <w:r w:rsidR="004C65DA" w:rsidRPr="006B279D">
          <w:rPr>
            <w:rStyle w:val="Hyperlink"/>
            <w:rFonts w:cs="Arial"/>
            <w:sz w:val="18"/>
            <w:szCs w:val="18"/>
          </w:rPr>
          <w:t>firepowerindex</w:t>
        </w:r>
        <w:proofErr w:type="spellEnd"/>
        <w:proofErr w:type="gramEnd"/>
      </w:hyperlink>
      <w:r w:rsidR="004C65DA">
        <w:rPr>
          <w:rFonts w:cs="Arial"/>
          <w:sz w:val="18"/>
          <w:szCs w:val="18"/>
        </w:rPr>
        <w:t xml:space="preserve"> </w:t>
      </w:r>
    </w:p>
    <w:p w:rsidR="004C65DA" w:rsidRDefault="004C65DA" w:rsidP="00057116">
      <w:pPr>
        <w:pStyle w:val="EYBodytextwithparaspace"/>
        <w:spacing w:after="0"/>
        <w:rPr>
          <w:rFonts w:cs="Arial"/>
          <w:b/>
          <w:sz w:val="18"/>
          <w:szCs w:val="18"/>
        </w:rPr>
      </w:pPr>
    </w:p>
    <w:p w:rsidR="00057116" w:rsidRDefault="00D37438" w:rsidP="00060AE0">
      <w:pPr>
        <w:pStyle w:val="EYBodytextwithparaspace"/>
        <w:spacing w:after="0"/>
        <w:rPr>
          <w:rFonts w:cs="Arial"/>
          <w:b/>
          <w:sz w:val="18"/>
          <w:szCs w:val="18"/>
        </w:rPr>
      </w:pPr>
      <w:r>
        <w:rPr>
          <w:rFonts w:cs="Arial"/>
          <w:b/>
          <w:sz w:val="18"/>
          <w:szCs w:val="18"/>
        </w:rPr>
        <w:t xml:space="preserve">About </w:t>
      </w:r>
      <w:r w:rsidR="00057116" w:rsidRPr="00D952F9">
        <w:rPr>
          <w:rFonts w:cs="Arial"/>
          <w:b/>
          <w:sz w:val="18"/>
          <w:szCs w:val="18"/>
        </w:rPr>
        <w:t xml:space="preserve">EY’s Global Life Sciences </w:t>
      </w:r>
      <w:r w:rsidR="00563DC4">
        <w:rPr>
          <w:rFonts w:cs="Arial"/>
          <w:b/>
          <w:sz w:val="18"/>
          <w:szCs w:val="18"/>
        </w:rPr>
        <w:t>Sector</w:t>
      </w:r>
    </w:p>
    <w:p w:rsidR="00A33ADA" w:rsidRDefault="00057116" w:rsidP="005268ED">
      <w:pPr>
        <w:autoSpaceDE w:val="0"/>
        <w:autoSpaceDN w:val="0"/>
        <w:spacing w:line="360" w:lineRule="auto"/>
        <w:rPr>
          <w:rFonts w:cs="Arial"/>
          <w:sz w:val="18"/>
          <w:szCs w:val="18"/>
        </w:rPr>
      </w:pPr>
      <w:r w:rsidRPr="00D952F9">
        <w:rPr>
          <w:rFonts w:cs="Arial"/>
          <w:sz w:val="18"/>
          <w:szCs w:val="18"/>
        </w:rPr>
        <w:t xml:space="preserve">Life sciences companies </w:t>
      </w:r>
      <w:r w:rsidR="00F867A7" w:rsidRPr="00D24C2E">
        <w:rPr>
          <w:rFonts w:cs="Arial"/>
          <w:szCs w:val="22"/>
        </w:rPr>
        <w:t>–</w:t>
      </w:r>
      <w:r w:rsidRPr="00D952F9">
        <w:rPr>
          <w:rFonts w:cs="Arial"/>
          <w:sz w:val="18"/>
          <w:szCs w:val="18"/>
        </w:rPr>
        <w:t xml:space="preserve"> from emerging startups to multinational enterprises </w:t>
      </w:r>
      <w:r w:rsidR="00F867A7" w:rsidRPr="00D24C2E">
        <w:rPr>
          <w:rFonts w:cs="Arial"/>
          <w:szCs w:val="22"/>
        </w:rPr>
        <w:t>–</w:t>
      </w:r>
      <w:r w:rsidRPr="00D952F9">
        <w:rPr>
          <w:rFonts w:cs="Arial"/>
          <w:sz w:val="18"/>
          <w:szCs w:val="18"/>
        </w:rPr>
        <w:t xml:space="preserve"> face new challenges in a rapidly changing health care ecosystem. Payers and regulators are increasing scrutiny and accelerating the transition to value and outcomes. Big data and patient-empowering technologies are driving new approaches and enabling transparency and consumerism. Players from other sectors are entering health care, making collaborations increasingly complex.</w:t>
      </w:r>
      <w:r>
        <w:rPr>
          <w:rFonts w:cs="Arial"/>
          <w:sz w:val="18"/>
          <w:szCs w:val="18"/>
        </w:rPr>
        <w:t xml:space="preserve"> </w:t>
      </w:r>
      <w:r w:rsidRPr="00D952F9">
        <w:rPr>
          <w:rFonts w:cs="Arial"/>
          <w:sz w:val="18"/>
          <w:szCs w:val="18"/>
        </w:rPr>
        <w:t xml:space="preserve">These trends challenge every aspect of the life sciences business model, from R&amp;D to marketing. Our </w:t>
      </w:r>
      <w:r w:rsidRPr="009438E4">
        <w:rPr>
          <w:rFonts w:cs="Arial"/>
          <w:sz w:val="18"/>
          <w:szCs w:val="18"/>
        </w:rPr>
        <w:t xml:space="preserve">Global Life Sciences </w:t>
      </w:r>
      <w:r w:rsidR="00563DC4" w:rsidRPr="009438E4">
        <w:rPr>
          <w:rFonts w:cs="Arial"/>
          <w:sz w:val="18"/>
          <w:szCs w:val="18"/>
        </w:rPr>
        <w:t xml:space="preserve">Sector </w:t>
      </w:r>
      <w:r w:rsidRPr="00D952F9">
        <w:rPr>
          <w:rFonts w:cs="Arial"/>
          <w:sz w:val="18"/>
          <w:szCs w:val="18"/>
        </w:rPr>
        <w:t xml:space="preserve">brings together a worldwide network </w:t>
      </w:r>
      <w:r w:rsidR="00F867A7" w:rsidRPr="00D24C2E">
        <w:rPr>
          <w:rFonts w:cs="Arial"/>
          <w:szCs w:val="22"/>
        </w:rPr>
        <w:t>–</w:t>
      </w:r>
      <w:r w:rsidRPr="00D952F9">
        <w:rPr>
          <w:rFonts w:cs="Arial"/>
          <w:sz w:val="18"/>
          <w:szCs w:val="18"/>
        </w:rPr>
        <w:t xml:space="preserve"> more than 7,000 sector-focused assurance, tax, transaction and advisory professionals </w:t>
      </w:r>
      <w:r w:rsidR="00F867A7" w:rsidRPr="00D24C2E">
        <w:rPr>
          <w:rFonts w:cs="Arial"/>
          <w:szCs w:val="22"/>
        </w:rPr>
        <w:t>–</w:t>
      </w:r>
      <w:r w:rsidRPr="00D952F9">
        <w:rPr>
          <w:rFonts w:cs="Arial"/>
          <w:sz w:val="18"/>
          <w:szCs w:val="18"/>
        </w:rPr>
        <w:t xml:space="preserve"> to anticipate trends, identify implications and develop points of view on responding to critical issues. We can help you navigate your way forward and achieve success in the new ecosystem. </w:t>
      </w:r>
    </w:p>
    <w:p w:rsidR="00A33ADA" w:rsidRDefault="00A33ADA" w:rsidP="005268ED">
      <w:pPr>
        <w:autoSpaceDE w:val="0"/>
        <w:autoSpaceDN w:val="0"/>
        <w:spacing w:line="360" w:lineRule="auto"/>
        <w:rPr>
          <w:rFonts w:cs="Arial"/>
          <w:sz w:val="18"/>
          <w:szCs w:val="18"/>
        </w:rPr>
      </w:pPr>
    </w:p>
    <w:p w:rsidR="002A2CC7" w:rsidRDefault="00563DC4" w:rsidP="005268ED">
      <w:pPr>
        <w:autoSpaceDE w:val="0"/>
        <w:autoSpaceDN w:val="0"/>
        <w:spacing w:line="360" w:lineRule="auto"/>
        <w:rPr>
          <w:rFonts w:cs="Arial"/>
          <w:sz w:val="18"/>
          <w:szCs w:val="18"/>
        </w:rPr>
      </w:pPr>
      <w:r w:rsidRPr="005A367F">
        <w:rPr>
          <w:rFonts w:cs="Arial"/>
          <w:sz w:val="18"/>
          <w:szCs w:val="18"/>
        </w:rPr>
        <w:lastRenderedPageBreak/>
        <w:t xml:space="preserve">For more timely insights on the key business issues affecting life sciences companies, please go to </w:t>
      </w:r>
      <w:hyperlink r:id="rId15" w:history="1">
        <w:r w:rsidR="00C44597" w:rsidRPr="006B279D">
          <w:rPr>
            <w:rStyle w:val="Hyperlink"/>
            <w:rFonts w:cs="Arial"/>
            <w:sz w:val="18"/>
            <w:szCs w:val="18"/>
          </w:rPr>
          <w:t>ey.com/VitalSigns</w:t>
        </w:r>
      </w:hyperlink>
      <w:r w:rsidR="00C44597">
        <w:rPr>
          <w:rFonts w:cs="Arial"/>
          <w:sz w:val="18"/>
          <w:szCs w:val="18"/>
        </w:rPr>
        <w:t>.</w:t>
      </w:r>
      <w:r w:rsidRPr="005A367F">
        <w:rPr>
          <w:rFonts w:cs="Arial"/>
          <w:sz w:val="18"/>
          <w:szCs w:val="18"/>
        </w:rPr>
        <w:t xml:space="preserve"> You can also visit </w:t>
      </w:r>
      <w:hyperlink r:id="rId16" w:history="1">
        <w:r w:rsidR="00C44597" w:rsidRPr="006B279D">
          <w:rPr>
            <w:rStyle w:val="Hyperlink"/>
            <w:rFonts w:cs="Arial"/>
            <w:sz w:val="18"/>
            <w:szCs w:val="18"/>
          </w:rPr>
          <w:t>ey.com/lifesciences</w:t>
        </w:r>
      </w:hyperlink>
      <w:r w:rsidR="00C44597">
        <w:rPr>
          <w:rFonts w:cs="Arial"/>
          <w:sz w:val="18"/>
          <w:szCs w:val="18"/>
        </w:rPr>
        <w:t xml:space="preserve"> </w:t>
      </w:r>
      <w:r w:rsidRPr="005A367F">
        <w:rPr>
          <w:rFonts w:cs="Arial"/>
          <w:sz w:val="18"/>
          <w:szCs w:val="18"/>
        </w:rPr>
        <w:t xml:space="preserve">or email </w:t>
      </w:r>
      <w:hyperlink r:id="rId17" w:history="1">
        <w:r w:rsidRPr="005A367F">
          <w:rPr>
            <w:rFonts w:cs="Arial"/>
            <w:sz w:val="18"/>
            <w:szCs w:val="18"/>
          </w:rPr>
          <w:t>global.lifesciences@ey.com</w:t>
        </w:r>
      </w:hyperlink>
      <w:r w:rsidRPr="005A367F">
        <w:rPr>
          <w:rFonts w:cs="Arial"/>
          <w:sz w:val="18"/>
          <w:szCs w:val="18"/>
        </w:rPr>
        <w:t xml:space="preserve"> for more information on our services. To connect with us on Twitter</w:t>
      </w:r>
      <w:r w:rsidR="00A33ADA">
        <w:rPr>
          <w:rFonts w:cs="Arial"/>
          <w:sz w:val="18"/>
          <w:szCs w:val="18"/>
        </w:rPr>
        <w:t xml:space="preserve"> -</w:t>
      </w:r>
      <w:r w:rsidR="00F867A7">
        <w:rPr>
          <w:rFonts w:cs="Arial"/>
          <w:sz w:val="18"/>
          <w:szCs w:val="18"/>
        </w:rPr>
        <w:t xml:space="preserve"> </w:t>
      </w:r>
      <w:r w:rsidR="00A33ADA" w:rsidRPr="00A33ADA">
        <w:rPr>
          <w:rFonts w:cs="Arial"/>
          <w:sz w:val="18"/>
          <w:szCs w:val="18"/>
        </w:rPr>
        <w:t>@</w:t>
      </w:r>
      <w:proofErr w:type="spellStart"/>
      <w:r w:rsidR="00A33ADA" w:rsidRPr="00A33ADA">
        <w:rPr>
          <w:rFonts w:cs="Arial"/>
          <w:sz w:val="18"/>
          <w:szCs w:val="18"/>
        </w:rPr>
        <w:t>EY_LifeSciences</w:t>
      </w:r>
      <w:proofErr w:type="spellEnd"/>
      <w:r w:rsidR="00A33ADA">
        <w:rPr>
          <w:rFonts w:cs="Arial"/>
          <w:sz w:val="18"/>
          <w:szCs w:val="18"/>
        </w:rPr>
        <w:t>.</w:t>
      </w:r>
    </w:p>
    <w:p w:rsidR="00057116" w:rsidRPr="006F7DE7" w:rsidRDefault="00057116" w:rsidP="00057116">
      <w:pPr>
        <w:pStyle w:val="EYBodytextwithparaspace"/>
        <w:spacing w:after="0"/>
      </w:pPr>
    </w:p>
    <w:sectPr w:rsidR="00057116" w:rsidRPr="006F7DE7" w:rsidSect="00665A20">
      <w:headerReference w:type="default" r:id="rId18"/>
      <w:footerReference w:type="default" r:id="rId19"/>
      <w:headerReference w:type="first" r:id="rId20"/>
      <w:pgSz w:w="11907" w:h="16840" w:code="9"/>
      <w:pgMar w:top="2722" w:right="1282" w:bottom="936" w:left="1368" w:header="706" w:footer="5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015" w:rsidRDefault="00633015" w:rsidP="00322B29">
      <w:r>
        <w:separator/>
      </w:r>
    </w:p>
  </w:endnote>
  <w:endnote w:type="continuationSeparator" w:id="0">
    <w:p w:rsidR="00633015" w:rsidRDefault="00633015" w:rsidP="00322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YInterstate">
    <w:panose1 w:val="02000503020000020004"/>
    <w:charset w:val="CC"/>
    <w:family w:val="auto"/>
    <w:pitch w:val="variable"/>
    <w:sig w:usb0="800002AF" w:usb1="5000204A"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1DA" w:rsidRDefault="00DF7498">
    <w:pPr>
      <w:pStyle w:val="Footer"/>
    </w:pPr>
    <w:r>
      <w:rPr>
        <w:noProof/>
      </w:rPr>
      <mc:AlternateContent>
        <mc:Choice Requires="wps">
          <w:drawing>
            <wp:anchor distT="0" distB="0" distL="114300" distR="114300" simplePos="0" relativeHeight="251660288" behindDoc="1" locked="1" layoutInCell="1" allowOverlap="1">
              <wp:simplePos x="0" y="0"/>
              <wp:positionH relativeFrom="column">
                <wp:posOffset>0</wp:posOffset>
              </wp:positionH>
              <wp:positionV relativeFrom="page">
                <wp:posOffset>10333355</wp:posOffset>
              </wp:positionV>
              <wp:extent cx="1714500" cy="1143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1DA" w:rsidRPr="00195C92" w:rsidRDefault="00633015" w:rsidP="008E21DA">
                          <w:pPr>
                            <w:pStyle w:val="EYFooterinf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27" type="#_x0000_t202" style="position:absolute;margin-left:0;margin-top:813.65pt;width:135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" filled="f" stroked="f">
              <v:textbox inset="0,0,0,0">
                <w:txbxContent>
                  <w:p w:rsidR="008E21DA" w:rsidRPr="00195C92" w:rsidRDefault="00795831" w:rsidP="008E21DA">
                    <w:pPr>
                      <w:pStyle w:val="EYFooterinfo"/>
                    </w:pPr>
                  </w:p>
                </w:txbxContent>
              </v:textbox>
              <w10:wrap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015" w:rsidRDefault="00633015" w:rsidP="00322B29">
      <w:r>
        <w:separator/>
      </w:r>
    </w:p>
  </w:footnote>
  <w:footnote w:type="continuationSeparator" w:id="0">
    <w:p w:rsidR="00633015" w:rsidRDefault="00633015" w:rsidP="00322B29">
      <w:r>
        <w:continuationSeparator/>
      </w:r>
    </w:p>
  </w:footnote>
  <w:footnote w:id="1">
    <w:p w:rsidR="00057116" w:rsidRDefault="00057116">
      <w:pPr>
        <w:pStyle w:val="FootnoteText"/>
      </w:pPr>
      <w:r>
        <w:rPr>
          <w:rStyle w:val="FootnoteReference"/>
        </w:rPr>
        <w:footnoteRef/>
      </w:r>
      <w:r>
        <w:t xml:space="preserve"> </w:t>
      </w:r>
      <w:r w:rsidRPr="00057116">
        <w:rPr>
          <w:sz w:val="14"/>
        </w:rPr>
        <w:t xml:space="preserve">Growth gap is defined as the difference in the </w:t>
      </w:r>
      <w:r w:rsidR="00D56E68">
        <w:rPr>
          <w:sz w:val="14"/>
        </w:rPr>
        <w:t xml:space="preserve">projected </w:t>
      </w:r>
      <w:r w:rsidRPr="00057116">
        <w:rPr>
          <w:sz w:val="14"/>
        </w:rPr>
        <w:t xml:space="preserve">sales growth of a </w:t>
      </w:r>
      <w:proofErr w:type="spellStart"/>
      <w:r w:rsidRPr="00057116">
        <w:rPr>
          <w:sz w:val="14"/>
        </w:rPr>
        <w:t>biopharma</w:t>
      </w:r>
      <w:proofErr w:type="spellEnd"/>
      <w:r w:rsidRPr="00057116">
        <w:rPr>
          <w:sz w:val="14"/>
        </w:rPr>
        <w:t xml:space="preserve"> company or </w:t>
      </w:r>
      <w:proofErr w:type="spellStart"/>
      <w:r w:rsidRPr="00057116">
        <w:rPr>
          <w:sz w:val="14"/>
        </w:rPr>
        <w:t>biopharma</w:t>
      </w:r>
      <w:proofErr w:type="spellEnd"/>
      <w:r w:rsidRPr="00057116">
        <w:rPr>
          <w:sz w:val="14"/>
        </w:rPr>
        <w:t xml:space="preserve"> sub-sector (e.g., big pharma) relative to overall drug market sales</w:t>
      </w:r>
      <w:r w:rsidR="00D56E68">
        <w:rPr>
          <w:sz w:val="14"/>
        </w:rPr>
        <w:t xml:space="preserve"> per </w:t>
      </w:r>
      <w:r w:rsidR="00D56E68" w:rsidRPr="009438E4">
        <w:rPr>
          <w:sz w:val="14"/>
        </w:rPr>
        <w:t>IMS</w:t>
      </w:r>
      <w:r w:rsidR="00A33ADA">
        <w:rPr>
          <w:sz w:val="14"/>
        </w:rPr>
        <w:t xml:space="preserve"> Health’s global drug market forecast </w:t>
      </w:r>
      <w:r w:rsidR="00D56E68">
        <w:rPr>
          <w:sz w:val="14"/>
        </w:rPr>
        <w:t>as of October 31, 2015</w:t>
      </w:r>
      <w:r w:rsidR="00A33ADA">
        <w:rPr>
          <w:sz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D53" w:rsidRDefault="00F251DC" w:rsidP="00FC6AEB">
    <w:pPr>
      <w:pStyle w:val="Header"/>
    </w:pPr>
    <w:r>
      <w:rPr>
        <w:noProof/>
      </w:rPr>
      <w:drawing>
        <wp:anchor distT="0" distB="0" distL="114300" distR="114300" simplePos="0" relativeHeight="251671552" behindDoc="1" locked="1" layoutInCell="1" allowOverlap="1" wp14:anchorId="3AC76266" wp14:editId="0E16B4CE">
          <wp:simplePos x="0" y="0"/>
          <wp:positionH relativeFrom="margin">
            <wp:align>left</wp:align>
          </wp:positionH>
          <wp:positionV relativeFrom="page">
            <wp:posOffset>438785</wp:posOffset>
          </wp:positionV>
          <wp:extent cx="1223645" cy="1028700"/>
          <wp:effectExtent l="0" t="0" r="0" b="0"/>
          <wp:wrapNone/>
          <wp:docPr id="6" name="Picture 0" descr="EY_Logo_Beam_Tag_Stacked_RGB_RU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_Logo_Beam_Tag_Stacked_RGB_RUS.wmf"/>
                  <pic:cNvPicPr/>
                </pic:nvPicPr>
                <pic:blipFill>
                  <a:blip r:embed="rId1"/>
                  <a:stretch>
                    <a:fillRect/>
                  </a:stretch>
                </pic:blipFill>
                <pic:spPr>
                  <a:xfrm>
                    <a:off x="0" y="0"/>
                    <a:ext cx="1223645" cy="1028700"/>
                  </a:xfrm>
                  <a:prstGeom prst="rect">
                    <a:avLst/>
                  </a:prstGeom>
                </pic:spPr>
              </pic:pic>
            </a:graphicData>
          </a:graphic>
        </wp:anchor>
      </w:drawing>
    </w:r>
    <w:r w:rsidR="00DF7498">
      <w:rPr>
        <w:noProof/>
      </w:rPr>
      <mc:AlternateContent>
        <mc:Choice Requires="wps">
          <w:drawing>
            <wp:anchor distT="0" distB="0" distL="114300" distR="114300" simplePos="0" relativeHeight="251662336" behindDoc="0" locked="0" layoutInCell="1" allowOverlap="1">
              <wp:simplePos x="0" y="0"/>
              <wp:positionH relativeFrom="page">
                <wp:posOffset>5403850</wp:posOffset>
              </wp:positionH>
              <wp:positionV relativeFrom="page">
                <wp:posOffset>403225</wp:posOffset>
              </wp:positionV>
              <wp:extent cx="1800225" cy="617855"/>
              <wp:effectExtent l="0" t="0" r="9525" b="1079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1DC" w:rsidRDefault="00F251DC" w:rsidP="002C3F79">
                          <w:pPr>
                            <w:pStyle w:val="EYContinuationheader"/>
                            <w:jc w:val="right"/>
                          </w:pPr>
                        </w:p>
                        <w:p w:rsidR="00F251DC" w:rsidRDefault="00F251DC" w:rsidP="002C3F79">
                          <w:pPr>
                            <w:pStyle w:val="EYContinuationheader"/>
                            <w:jc w:val="right"/>
                          </w:pPr>
                          <w:r>
                            <w:t>EY</w:t>
                          </w:r>
                        </w:p>
                        <w:p w:rsidR="002C3F79" w:rsidRDefault="00322B29" w:rsidP="002C3F79">
                          <w:pPr>
                            <w:pStyle w:val="EYContinuationheader"/>
                            <w:jc w:val="right"/>
                          </w:pPr>
                          <w:r>
                            <w:t xml:space="preserve">Page </w:t>
                          </w:r>
                          <w:r w:rsidR="00BC2129">
                            <w:fldChar w:fldCharType="begin"/>
                          </w:r>
                          <w:r>
                            <w:instrText xml:space="preserve"> PAGE  \* Arabic  \* MERGEFORMAT </w:instrText>
                          </w:r>
                          <w:r w:rsidR="00BC2129">
                            <w:fldChar w:fldCharType="separate"/>
                          </w:r>
                          <w:r w:rsidR="003202F0">
                            <w:rPr>
                              <w:noProof/>
                            </w:rPr>
                            <w:t>5</w:t>
                          </w:r>
                          <w:r w:rsidR="00BC2129">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25.5pt;margin-top:31.75pt;width:141.75pt;height:48.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1bTrgIAAKk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" filled="f" stroked="f">
              <v:textbox inset="0,0,0,0">
                <w:txbxContent>
                  <w:p w:rsidR="00F251DC" w:rsidRDefault="00F251DC" w:rsidP="002C3F79">
                    <w:pPr>
                      <w:pStyle w:val="EYContinuationheader"/>
                      <w:jc w:val="right"/>
                    </w:pPr>
                  </w:p>
                  <w:p w:rsidR="00F251DC" w:rsidRDefault="00F251DC" w:rsidP="002C3F79">
                    <w:pPr>
                      <w:pStyle w:val="EYContinuationheader"/>
                      <w:jc w:val="right"/>
                    </w:pPr>
                    <w:r>
                      <w:t>EY</w:t>
                    </w:r>
                  </w:p>
                  <w:p w:rsidR="002C3F79" w:rsidRDefault="00322B29" w:rsidP="002C3F79">
                    <w:pPr>
                      <w:pStyle w:val="EYContinuationheader"/>
                      <w:jc w:val="right"/>
                    </w:pPr>
                    <w:r>
                      <w:t xml:space="preserve">Page </w:t>
                    </w:r>
                    <w:r w:rsidR="00BC2129">
                      <w:fldChar w:fldCharType="begin"/>
                    </w:r>
                    <w:r>
                      <w:instrText xml:space="preserve"> PAGE  \* Arabic  \* MERGEFORMAT </w:instrText>
                    </w:r>
                    <w:r w:rsidR="00BC2129">
                      <w:fldChar w:fldCharType="separate"/>
                    </w:r>
                    <w:r w:rsidR="003202F0">
                      <w:rPr>
                        <w:noProof/>
                      </w:rPr>
                      <w:t>5</w:t>
                    </w:r>
                    <w:r w:rsidR="00BC2129">
                      <w:rPr>
                        <w:noProof/>
                      </w:rPr>
                      <w:fldChar w:fldCharType="end"/>
                    </w:r>
                  </w:p>
                </w:txbxContent>
              </v:textbox>
              <w10:wrap type="square"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AEB" w:rsidRDefault="00F251DC">
    <w:pPr>
      <w:pStyle w:val="Header"/>
    </w:pPr>
    <w:r w:rsidRPr="009C406C">
      <w:rPr>
        <w:rFonts w:ascii="Times New Roman" w:hAnsi="Times New Roman"/>
        <w:noProof/>
        <w:sz w:val="24"/>
      </w:rPr>
      <mc:AlternateContent>
        <mc:Choice Requires="wps">
          <w:drawing>
            <wp:anchor distT="0" distB="0" distL="114300" distR="114300" simplePos="0" relativeHeight="251669504" behindDoc="0" locked="1" layoutInCell="1" allowOverlap="1" wp14:anchorId="3A4B3E9C" wp14:editId="73ADB605">
              <wp:simplePos x="0" y="0"/>
              <wp:positionH relativeFrom="page">
                <wp:posOffset>2672715</wp:posOffset>
              </wp:positionH>
              <wp:positionV relativeFrom="page">
                <wp:posOffset>640715</wp:posOffset>
              </wp:positionV>
              <wp:extent cx="3962400" cy="1079500"/>
              <wp:effectExtent l="0" t="0" r="0" b="63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2268"/>
                            <w:gridCol w:w="284"/>
                            <w:gridCol w:w="2551"/>
                          </w:tblGrid>
                          <w:tr w:rsidR="00F251DC" w:rsidTr="00764638">
                            <w:tc>
                              <w:tcPr>
                                <w:tcW w:w="2268" w:type="dxa"/>
                                <w:shd w:val="clear" w:color="auto" w:fill="auto"/>
                              </w:tcPr>
                              <w:tbl>
                                <w:tblPr>
                                  <w:tblW w:w="2552" w:type="dxa"/>
                                  <w:tblLayout w:type="fixed"/>
                                  <w:tblLook w:val="01E0" w:firstRow="1" w:lastRow="1" w:firstColumn="1" w:lastColumn="1" w:noHBand="0" w:noVBand="0"/>
                                </w:tblPr>
                                <w:tblGrid>
                                  <w:gridCol w:w="2552"/>
                                </w:tblGrid>
                                <w:tr w:rsidR="00F251DC" w:rsidRPr="004D112C" w:rsidTr="00764638">
                                  <w:tc>
                                    <w:tcPr>
                                      <w:tcW w:w="2552" w:type="dxa"/>
                                      <w:shd w:val="clear" w:color="auto" w:fill="auto"/>
                                      <w:tcMar>
                                        <w:left w:w="0" w:type="dxa"/>
                                        <w:right w:w="0" w:type="dxa"/>
                                      </w:tcMar>
                                    </w:tcPr>
                                    <w:p w:rsidR="00F251DC" w:rsidRPr="00FB4325" w:rsidRDefault="00F251DC" w:rsidP="00764638">
                                      <w:pPr>
                                        <w:pStyle w:val="Legalentityname"/>
                                        <w:rPr>
                                          <w:b w:val="0"/>
                                          <w:lang w:val="en-US"/>
                                        </w:rPr>
                                      </w:pPr>
                                      <w:r w:rsidRPr="00FB4325">
                                        <w:rPr>
                                          <w:b w:val="0"/>
                                          <w:lang w:val="en-US"/>
                                        </w:rPr>
                                        <w:t>Ernst &amp; Young LLC</w:t>
                                      </w:r>
                                    </w:p>
                                    <w:p w:rsidR="00F251DC" w:rsidRDefault="00F251DC" w:rsidP="00764638">
                                      <w:pPr>
                                        <w:pStyle w:val="address"/>
                                      </w:pPr>
                                      <w:proofErr w:type="spellStart"/>
                                      <w:r w:rsidRPr="00D81A8D">
                                        <w:t>Sadovnicheskaya</w:t>
                                      </w:r>
                                      <w:proofErr w:type="spellEnd"/>
                                      <w:r w:rsidRPr="00D81A8D">
                                        <w:t xml:space="preserve"> Nab., 77, bld. 1</w:t>
                                      </w:r>
                                      <w:r w:rsidRPr="00D81A8D">
                                        <w:br/>
                                        <w:t>Moscow, 115035, Russia</w:t>
                                      </w:r>
                                    </w:p>
                                    <w:p w:rsidR="00F251DC" w:rsidRPr="00D81A8D" w:rsidRDefault="00F251DC" w:rsidP="00764638">
                                      <w:pPr>
                                        <w:pStyle w:val="address"/>
                                        <w:tabs>
                                          <w:tab w:val="left" w:pos="350"/>
                                        </w:tabs>
                                      </w:pPr>
                                      <w:r w:rsidRPr="00D81A8D">
                                        <w:t>Tel:</w:t>
                                      </w:r>
                                      <w:r w:rsidRPr="00D81A8D">
                                        <w:tab/>
                                        <w:t>+7 (495) 705 9700</w:t>
                                      </w:r>
                                      <w:r w:rsidRPr="00D81A8D">
                                        <w:br/>
                                      </w:r>
                                      <w:r w:rsidRPr="00D81A8D">
                                        <w:tab/>
                                        <w:t>+7 (495) 755 9700</w:t>
                                      </w:r>
                                      <w:r w:rsidRPr="00D81A8D">
                                        <w:br/>
                                        <w:t>Fax:</w:t>
                                      </w:r>
                                      <w:r w:rsidRPr="00D81A8D">
                                        <w:tab/>
                                        <w:t>+7 (495) 755 9701</w:t>
                                      </w:r>
                                      <w:r w:rsidRPr="00D81A8D">
                                        <w:br/>
                                      </w:r>
                                      <w:hyperlink r:id="rId1" w:history="1">
                                        <w:r w:rsidRPr="00D81A8D">
                                          <w:t>www.ey.com/ru</w:t>
                                        </w:r>
                                      </w:hyperlink>
                                    </w:p>
                                  </w:tc>
                                </w:tr>
                                <w:tr w:rsidR="00F251DC" w:rsidRPr="004D112C" w:rsidTr="00764638">
                                  <w:trPr>
                                    <w:trHeight w:hRule="exact" w:val="80"/>
                                  </w:trPr>
                                  <w:tc>
                                    <w:tcPr>
                                      <w:tcW w:w="2552" w:type="dxa"/>
                                      <w:shd w:val="clear" w:color="auto" w:fill="auto"/>
                                      <w:tcMar>
                                        <w:left w:w="0" w:type="dxa"/>
                                        <w:right w:w="0" w:type="dxa"/>
                                      </w:tcMar>
                                    </w:tcPr>
                                    <w:p w:rsidR="00F251DC" w:rsidRPr="00FB4325" w:rsidRDefault="00F251DC" w:rsidP="00764638">
                                      <w:pPr>
                                        <w:pStyle w:val="EYBusinessaddress"/>
                                        <w:rPr>
                                          <w:lang w:val="en-US"/>
                                        </w:rPr>
                                      </w:pPr>
                                    </w:p>
                                  </w:tc>
                                </w:tr>
                              </w:tbl>
                              <w:p w:rsidR="00F251DC" w:rsidRPr="00D81A8D" w:rsidRDefault="00F251DC" w:rsidP="00764638">
                                <w:pPr>
                                  <w:pStyle w:val="address"/>
                                  <w:tabs>
                                    <w:tab w:val="left" w:pos="426"/>
                                  </w:tabs>
                                </w:pPr>
                              </w:p>
                            </w:tc>
                            <w:tc>
                              <w:tcPr>
                                <w:tcW w:w="284" w:type="dxa"/>
                                <w:shd w:val="clear" w:color="auto" w:fill="auto"/>
                              </w:tcPr>
                              <w:p w:rsidR="00F251DC" w:rsidRPr="00FB4325" w:rsidRDefault="00F251DC" w:rsidP="00764638">
                                <w:pPr>
                                  <w:pStyle w:val="EYBusinessaddress"/>
                                  <w:rPr>
                                    <w:lang w:val="en-US"/>
                                  </w:rPr>
                                </w:pPr>
                              </w:p>
                            </w:tc>
                            <w:tc>
                              <w:tcPr>
                                <w:tcW w:w="2551" w:type="dxa"/>
                                <w:shd w:val="clear" w:color="auto" w:fill="auto"/>
                              </w:tcPr>
                              <w:tbl>
                                <w:tblPr>
                                  <w:tblW w:w="0" w:type="auto"/>
                                  <w:tblLayout w:type="fixed"/>
                                  <w:tblLook w:val="01E0" w:firstRow="1" w:lastRow="1" w:firstColumn="1" w:lastColumn="1" w:noHBand="0" w:noVBand="0"/>
                                </w:tblPr>
                                <w:tblGrid>
                                  <w:gridCol w:w="2715"/>
                                </w:tblGrid>
                                <w:tr w:rsidR="00F251DC" w:rsidRPr="00D81A8D" w:rsidTr="00764638">
                                  <w:tc>
                                    <w:tcPr>
                                      <w:tcW w:w="2715" w:type="dxa"/>
                                      <w:shd w:val="clear" w:color="auto" w:fill="auto"/>
                                      <w:tcMar>
                                        <w:left w:w="0" w:type="dxa"/>
                                        <w:right w:w="0" w:type="dxa"/>
                                      </w:tcMar>
                                    </w:tcPr>
                                    <w:p w:rsidR="00F251DC" w:rsidRPr="00D81A8D" w:rsidRDefault="00F251DC" w:rsidP="00764638">
                                      <w:pPr>
                                        <w:pStyle w:val="Legalentityname"/>
                                        <w:rPr>
                                          <w:b w:val="0"/>
                                        </w:rPr>
                                      </w:pPr>
                                      <w:r w:rsidRPr="00D81A8D">
                                        <w:rPr>
                                          <w:b w:val="0"/>
                                        </w:rPr>
                                        <w:t>ООО «Эрнст энд Янг»</w:t>
                                      </w:r>
                                    </w:p>
                                    <w:p w:rsidR="00F251DC" w:rsidRPr="006726C4" w:rsidRDefault="00F251DC" w:rsidP="00764638">
                                      <w:pPr>
                                        <w:pStyle w:val="address"/>
                                        <w:rPr>
                                          <w:lang w:val="ru-RU"/>
                                        </w:rPr>
                                      </w:pPr>
                                      <w:r w:rsidRPr="006726C4">
                                        <w:rPr>
                                          <w:lang w:val="ru-RU"/>
                                        </w:rPr>
                                        <w:t xml:space="preserve">Россия, 115035, Москва </w:t>
                                      </w:r>
                                      <w:r w:rsidRPr="006726C4">
                                        <w:rPr>
                                          <w:lang w:val="ru-RU"/>
                                        </w:rPr>
                                        <w:br/>
                                        <w:t>Садовническая наб., 77, стр. 1</w:t>
                                      </w:r>
                                    </w:p>
                                    <w:p w:rsidR="00F251DC" w:rsidRPr="00D81A8D" w:rsidRDefault="00F251DC" w:rsidP="00764638">
                                      <w:pPr>
                                        <w:pStyle w:val="address"/>
                                        <w:tabs>
                                          <w:tab w:val="left" w:pos="518"/>
                                        </w:tabs>
                                      </w:pPr>
                                      <w:proofErr w:type="spellStart"/>
                                      <w:r w:rsidRPr="00D81A8D">
                                        <w:t>Тел</w:t>
                                      </w:r>
                                      <w:proofErr w:type="spellEnd"/>
                                      <w:r w:rsidRPr="00D81A8D">
                                        <w:t>.:</w:t>
                                      </w:r>
                                      <w:r w:rsidRPr="00D81A8D">
                                        <w:tab/>
                                        <w:t>+7 (495) 705 9700</w:t>
                                      </w:r>
                                      <w:r w:rsidRPr="00D81A8D">
                                        <w:br/>
                                      </w:r>
                                      <w:r w:rsidRPr="00D81A8D">
                                        <w:tab/>
                                        <w:t>+7 (495) 755 9700</w:t>
                                      </w:r>
                                      <w:r w:rsidRPr="00D81A8D">
                                        <w:br/>
                                      </w:r>
                                      <w:proofErr w:type="spellStart"/>
                                      <w:r w:rsidRPr="00D81A8D">
                                        <w:t>Факс</w:t>
                                      </w:r>
                                      <w:proofErr w:type="spellEnd"/>
                                      <w:r w:rsidRPr="00D81A8D">
                                        <w:t>:</w:t>
                                      </w:r>
                                      <w:r w:rsidRPr="00D81A8D">
                                        <w:tab/>
                                        <w:t>+7 (495) 755 9701</w:t>
                                      </w:r>
                                      <w:r w:rsidRPr="00D81A8D">
                                        <w:br/>
                                        <w:t>ОКПО:</w:t>
                                      </w:r>
                                      <w:r w:rsidRPr="00D81A8D">
                                        <w:tab/>
                                        <w:t>59002827</w:t>
                                      </w:r>
                                    </w:p>
                                  </w:tc>
                                </w:tr>
                                <w:tr w:rsidR="00F251DC" w:rsidRPr="00D81A8D" w:rsidTr="00764638">
                                  <w:trPr>
                                    <w:trHeight w:hRule="exact" w:val="80"/>
                                  </w:trPr>
                                  <w:tc>
                                    <w:tcPr>
                                      <w:tcW w:w="2715" w:type="dxa"/>
                                      <w:shd w:val="clear" w:color="auto" w:fill="auto"/>
                                      <w:tcMar>
                                        <w:left w:w="0" w:type="dxa"/>
                                        <w:right w:w="0" w:type="dxa"/>
                                      </w:tcMar>
                                    </w:tcPr>
                                    <w:p w:rsidR="00F251DC" w:rsidRPr="00D81A8D" w:rsidRDefault="00F251DC" w:rsidP="00764638">
                                      <w:pPr>
                                        <w:pStyle w:val="EYBusinessaddress"/>
                                      </w:pPr>
                                    </w:p>
                                  </w:tc>
                                </w:tr>
                              </w:tbl>
                              <w:p w:rsidR="00F251DC" w:rsidRPr="00D81A8D" w:rsidRDefault="00F251DC" w:rsidP="00764638">
                                <w:pPr>
                                  <w:pStyle w:val="EYBusinessaddress"/>
                                </w:pPr>
                              </w:p>
                            </w:tc>
                          </w:tr>
                        </w:tbl>
                        <w:p w:rsidR="00F251DC" w:rsidRPr="00EB222E" w:rsidRDefault="00F251DC" w:rsidP="00F251DC">
                          <w:pPr>
                            <w:pStyle w:val="EYBusinessaddres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10.45pt;margin-top:50.45pt;width:312pt;height: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WUrwIAALE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2268"/>
                      <w:gridCol w:w="284"/>
                      <w:gridCol w:w="2551"/>
                    </w:tblGrid>
                    <w:tr w:rsidR="00F251DC" w:rsidTr="00764638">
                      <w:tc>
                        <w:tcPr>
                          <w:tcW w:w="2268" w:type="dxa"/>
                          <w:shd w:val="clear" w:color="auto" w:fill="auto"/>
                        </w:tcPr>
                        <w:tbl>
                          <w:tblPr>
                            <w:tblW w:w="2552" w:type="dxa"/>
                            <w:tblLayout w:type="fixed"/>
                            <w:tblLook w:val="01E0" w:firstRow="1" w:lastRow="1" w:firstColumn="1" w:lastColumn="1" w:noHBand="0" w:noVBand="0"/>
                          </w:tblPr>
                          <w:tblGrid>
                            <w:gridCol w:w="2552"/>
                          </w:tblGrid>
                          <w:tr w:rsidR="00F251DC" w:rsidRPr="004D112C" w:rsidTr="00764638">
                            <w:tc>
                              <w:tcPr>
                                <w:tcW w:w="2552" w:type="dxa"/>
                                <w:shd w:val="clear" w:color="auto" w:fill="auto"/>
                                <w:tcMar>
                                  <w:left w:w="0" w:type="dxa"/>
                                  <w:right w:w="0" w:type="dxa"/>
                                </w:tcMar>
                              </w:tcPr>
                              <w:p w:rsidR="00F251DC" w:rsidRPr="00FB4325" w:rsidRDefault="00F251DC" w:rsidP="00764638">
                                <w:pPr>
                                  <w:pStyle w:val="Legalentityname"/>
                                  <w:rPr>
                                    <w:b w:val="0"/>
                                    <w:lang w:val="en-US"/>
                                  </w:rPr>
                                </w:pPr>
                                <w:r w:rsidRPr="00FB4325">
                                  <w:rPr>
                                    <w:b w:val="0"/>
                                    <w:lang w:val="en-US"/>
                                  </w:rPr>
                                  <w:t>Ernst &amp; Young LLC</w:t>
                                </w:r>
                              </w:p>
                              <w:p w:rsidR="00F251DC" w:rsidRDefault="00F251DC" w:rsidP="00764638">
                                <w:pPr>
                                  <w:pStyle w:val="address"/>
                                </w:pPr>
                                <w:proofErr w:type="spellStart"/>
                                <w:r w:rsidRPr="00D81A8D">
                                  <w:t>Sadovnicheskaya</w:t>
                                </w:r>
                                <w:proofErr w:type="spellEnd"/>
                                <w:r w:rsidRPr="00D81A8D">
                                  <w:t xml:space="preserve"> Nab., 77, bld. 1</w:t>
                                </w:r>
                                <w:r w:rsidRPr="00D81A8D">
                                  <w:br/>
                                  <w:t>Moscow, 115035, Russia</w:t>
                                </w:r>
                              </w:p>
                              <w:p w:rsidR="00F251DC" w:rsidRPr="00D81A8D" w:rsidRDefault="00F251DC" w:rsidP="00764638">
                                <w:pPr>
                                  <w:pStyle w:val="address"/>
                                  <w:tabs>
                                    <w:tab w:val="left" w:pos="350"/>
                                  </w:tabs>
                                </w:pPr>
                                <w:r w:rsidRPr="00D81A8D">
                                  <w:t>Tel:</w:t>
                                </w:r>
                                <w:r w:rsidRPr="00D81A8D">
                                  <w:tab/>
                                  <w:t>+7 (495) 705 9700</w:t>
                                </w:r>
                                <w:r w:rsidRPr="00D81A8D">
                                  <w:br/>
                                </w:r>
                                <w:r w:rsidRPr="00D81A8D">
                                  <w:tab/>
                                  <w:t>+7 (495) 755 9700</w:t>
                                </w:r>
                                <w:r w:rsidRPr="00D81A8D">
                                  <w:br/>
                                  <w:t>Fax:</w:t>
                                </w:r>
                                <w:r w:rsidRPr="00D81A8D">
                                  <w:tab/>
                                  <w:t>+7 (495) 755 9701</w:t>
                                </w:r>
                                <w:r w:rsidRPr="00D81A8D">
                                  <w:br/>
                                </w:r>
                                <w:hyperlink r:id="rId2" w:history="1">
                                  <w:r w:rsidRPr="00D81A8D">
                                    <w:t>www.ey.com/ru</w:t>
                                  </w:r>
                                </w:hyperlink>
                              </w:p>
                            </w:tc>
                          </w:tr>
                          <w:tr w:rsidR="00F251DC" w:rsidRPr="004D112C" w:rsidTr="00764638">
                            <w:trPr>
                              <w:trHeight w:hRule="exact" w:val="80"/>
                            </w:trPr>
                            <w:tc>
                              <w:tcPr>
                                <w:tcW w:w="2552" w:type="dxa"/>
                                <w:shd w:val="clear" w:color="auto" w:fill="auto"/>
                                <w:tcMar>
                                  <w:left w:w="0" w:type="dxa"/>
                                  <w:right w:w="0" w:type="dxa"/>
                                </w:tcMar>
                              </w:tcPr>
                              <w:p w:rsidR="00F251DC" w:rsidRPr="00FB4325" w:rsidRDefault="00F251DC" w:rsidP="00764638">
                                <w:pPr>
                                  <w:pStyle w:val="EYBusinessaddress"/>
                                  <w:rPr>
                                    <w:lang w:val="en-US"/>
                                  </w:rPr>
                                </w:pPr>
                              </w:p>
                            </w:tc>
                          </w:tr>
                        </w:tbl>
                        <w:p w:rsidR="00F251DC" w:rsidRPr="00D81A8D" w:rsidRDefault="00F251DC" w:rsidP="00764638">
                          <w:pPr>
                            <w:pStyle w:val="address"/>
                            <w:tabs>
                              <w:tab w:val="left" w:pos="426"/>
                            </w:tabs>
                          </w:pPr>
                        </w:p>
                      </w:tc>
                      <w:tc>
                        <w:tcPr>
                          <w:tcW w:w="284" w:type="dxa"/>
                          <w:shd w:val="clear" w:color="auto" w:fill="auto"/>
                        </w:tcPr>
                        <w:p w:rsidR="00F251DC" w:rsidRPr="00FB4325" w:rsidRDefault="00F251DC" w:rsidP="00764638">
                          <w:pPr>
                            <w:pStyle w:val="EYBusinessaddress"/>
                            <w:rPr>
                              <w:lang w:val="en-US"/>
                            </w:rPr>
                          </w:pPr>
                        </w:p>
                      </w:tc>
                      <w:tc>
                        <w:tcPr>
                          <w:tcW w:w="2551" w:type="dxa"/>
                          <w:shd w:val="clear" w:color="auto" w:fill="auto"/>
                        </w:tcPr>
                        <w:tbl>
                          <w:tblPr>
                            <w:tblW w:w="0" w:type="auto"/>
                            <w:tblLayout w:type="fixed"/>
                            <w:tblLook w:val="01E0" w:firstRow="1" w:lastRow="1" w:firstColumn="1" w:lastColumn="1" w:noHBand="0" w:noVBand="0"/>
                          </w:tblPr>
                          <w:tblGrid>
                            <w:gridCol w:w="2715"/>
                          </w:tblGrid>
                          <w:tr w:rsidR="00F251DC" w:rsidRPr="00D81A8D" w:rsidTr="00764638">
                            <w:tc>
                              <w:tcPr>
                                <w:tcW w:w="2715" w:type="dxa"/>
                                <w:shd w:val="clear" w:color="auto" w:fill="auto"/>
                                <w:tcMar>
                                  <w:left w:w="0" w:type="dxa"/>
                                  <w:right w:w="0" w:type="dxa"/>
                                </w:tcMar>
                              </w:tcPr>
                              <w:p w:rsidR="00F251DC" w:rsidRPr="00D81A8D" w:rsidRDefault="00F251DC" w:rsidP="00764638">
                                <w:pPr>
                                  <w:pStyle w:val="Legalentityname"/>
                                  <w:rPr>
                                    <w:b w:val="0"/>
                                  </w:rPr>
                                </w:pPr>
                                <w:r w:rsidRPr="00D81A8D">
                                  <w:rPr>
                                    <w:b w:val="0"/>
                                  </w:rPr>
                                  <w:t>ООО «Эрнст энд Янг»</w:t>
                                </w:r>
                              </w:p>
                              <w:p w:rsidR="00F251DC" w:rsidRPr="006726C4" w:rsidRDefault="00F251DC" w:rsidP="00764638">
                                <w:pPr>
                                  <w:pStyle w:val="address"/>
                                  <w:rPr>
                                    <w:lang w:val="ru-RU"/>
                                  </w:rPr>
                                </w:pPr>
                                <w:r w:rsidRPr="006726C4">
                                  <w:rPr>
                                    <w:lang w:val="ru-RU"/>
                                  </w:rPr>
                                  <w:t xml:space="preserve">Россия, 115035, Москва </w:t>
                                </w:r>
                                <w:r w:rsidRPr="006726C4">
                                  <w:rPr>
                                    <w:lang w:val="ru-RU"/>
                                  </w:rPr>
                                  <w:br/>
                                  <w:t>Садовническая наб., 77, стр. 1</w:t>
                                </w:r>
                              </w:p>
                              <w:p w:rsidR="00F251DC" w:rsidRPr="00D81A8D" w:rsidRDefault="00F251DC" w:rsidP="00764638">
                                <w:pPr>
                                  <w:pStyle w:val="address"/>
                                  <w:tabs>
                                    <w:tab w:val="left" w:pos="518"/>
                                  </w:tabs>
                                </w:pPr>
                                <w:proofErr w:type="spellStart"/>
                                <w:r w:rsidRPr="00D81A8D">
                                  <w:t>Тел</w:t>
                                </w:r>
                                <w:proofErr w:type="spellEnd"/>
                                <w:r w:rsidRPr="00D81A8D">
                                  <w:t>.:</w:t>
                                </w:r>
                                <w:r w:rsidRPr="00D81A8D">
                                  <w:tab/>
                                  <w:t>+7 (495) 705 9700</w:t>
                                </w:r>
                                <w:r w:rsidRPr="00D81A8D">
                                  <w:br/>
                                </w:r>
                                <w:r w:rsidRPr="00D81A8D">
                                  <w:tab/>
                                  <w:t>+7 (495) 755 9700</w:t>
                                </w:r>
                                <w:r w:rsidRPr="00D81A8D">
                                  <w:br/>
                                </w:r>
                                <w:proofErr w:type="spellStart"/>
                                <w:r w:rsidRPr="00D81A8D">
                                  <w:t>Факс</w:t>
                                </w:r>
                                <w:proofErr w:type="spellEnd"/>
                                <w:r w:rsidRPr="00D81A8D">
                                  <w:t>:</w:t>
                                </w:r>
                                <w:r w:rsidRPr="00D81A8D">
                                  <w:tab/>
                                  <w:t>+7 (495) 755 9701</w:t>
                                </w:r>
                                <w:r w:rsidRPr="00D81A8D">
                                  <w:br/>
                                  <w:t>ОКПО:</w:t>
                                </w:r>
                                <w:r w:rsidRPr="00D81A8D">
                                  <w:tab/>
                                  <w:t>59002827</w:t>
                                </w:r>
                              </w:p>
                            </w:tc>
                          </w:tr>
                          <w:tr w:rsidR="00F251DC" w:rsidRPr="00D81A8D" w:rsidTr="00764638">
                            <w:trPr>
                              <w:trHeight w:hRule="exact" w:val="80"/>
                            </w:trPr>
                            <w:tc>
                              <w:tcPr>
                                <w:tcW w:w="2715" w:type="dxa"/>
                                <w:shd w:val="clear" w:color="auto" w:fill="auto"/>
                                <w:tcMar>
                                  <w:left w:w="0" w:type="dxa"/>
                                  <w:right w:w="0" w:type="dxa"/>
                                </w:tcMar>
                              </w:tcPr>
                              <w:p w:rsidR="00F251DC" w:rsidRPr="00D81A8D" w:rsidRDefault="00F251DC" w:rsidP="00764638">
                                <w:pPr>
                                  <w:pStyle w:val="EYBusinessaddress"/>
                                </w:pPr>
                              </w:p>
                            </w:tc>
                          </w:tr>
                        </w:tbl>
                        <w:p w:rsidR="00F251DC" w:rsidRPr="00D81A8D" w:rsidRDefault="00F251DC" w:rsidP="00764638">
                          <w:pPr>
                            <w:pStyle w:val="EYBusinessaddress"/>
                          </w:pPr>
                        </w:p>
                      </w:tc>
                    </w:tr>
                  </w:tbl>
                  <w:p w:rsidR="00F251DC" w:rsidRPr="00EB222E" w:rsidRDefault="00F251DC" w:rsidP="00F251DC">
                    <w:pPr>
                      <w:pStyle w:val="EYBusinessaddress"/>
                    </w:pPr>
                  </w:p>
                </w:txbxContent>
              </v:textbox>
              <w10:wrap type="square" anchorx="page" anchory="page"/>
              <w10:anchorlock/>
            </v:shape>
          </w:pict>
        </mc:Fallback>
      </mc:AlternateContent>
    </w:r>
    <w:r>
      <w:rPr>
        <w:noProof/>
      </w:rPr>
      <w:drawing>
        <wp:anchor distT="0" distB="0" distL="114300" distR="114300" simplePos="0" relativeHeight="251667456" behindDoc="1" locked="1" layoutInCell="1" allowOverlap="1" wp14:anchorId="59740E77" wp14:editId="545BDE3F">
          <wp:simplePos x="0" y="0"/>
          <wp:positionH relativeFrom="margin">
            <wp:align>left</wp:align>
          </wp:positionH>
          <wp:positionV relativeFrom="page">
            <wp:posOffset>334010</wp:posOffset>
          </wp:positionV>
          <wp:extent cx="1223645" cy="1028700"/>
          <wp:effectExtent l="0" t="0" r="0" b="0"/>
          <wp:wrapNone/>
          <wp:docPr id="3" name="Picture 0" descr="EY_Logo_Beam_Tag_Stacked_RGB_RU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_Logo_Beam_Tag_Stacked_RGB_RUS.wmf"/>
                  <pic:cNvPicPr/>
                </pic:nvPicPr>
                <pic:blipFill>
                  <a:blip r:embed="rId3"/>
                  <a:stretch>
                    <a:fillRect/>
                  </a:stretch>
                </pic:blipFill>
                <pic:spPr>
                  <a:xfrm>
                    <a:off x="0" y="0"/>
                    <a:ext cx="1223645" cy="10287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252A"/>
    <w:multiLevelType w:val="hybridMultilevel"/>
    <w:tmpl w:val="E376A622"/>
    <w:lvl w:ilvl="0" w:tplc="AB06A944">
      <w:start w:val="1"/>
      <w:numFmt w:val="bullet"/>
      <w:lvlText w:val=""/>
      <w:lvlJc w:val="left"/>
      <w:pPr>
        <w:ind w:left="720" w:hanging="360"/>
      </w:pPr>
      <w:rPr>
        <w:rFonts w:ascii="Wingdings 3" w:hAnsi="Wingdings 3"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CE0432"/>
    <w:multiLevelType w:val="hybridMultilevel"/>
    <w:tmpl w:val="67B2A610"/>
    <w:lvl w:ilvl="0" w:tplc="A5120EE4">
      <w:start w:val="2"/>
      <w:numFmt w:val="bullet"/>
      <w:lvlText w:val=""/>
      <w:lvlJc w:val="left"/>
      <w:pPr>
        <w:ind w:left="720" w:hanging="360"/>
      </w:pPr>
      <w:rPr>
        <w:rFonts w:ascii="Wingdings 3" w:eastAsia="Times New Roman" w:hAnsi="Wingdings 3" w:cs="Times New Roman" w:hint="default"/>
        <w:caps w:val="0"/>
        <w:strike w:val="0"/>
        <w:dstrike w:val="0"/>
        <w:vanish w:val="0"/>
        <w:color w:val="000000"/>
        <w:sz w:val="16"/>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57416E"/>
    <w:multiLevelType w:val="hybridMultilevel"/>
    <w:tmpl w:val="CC7C5AF8"/>
    <w:lvl w:ilvl="0" w:tplc="AB06A944">
      <w:start w:val="1"/>
      <w:numFmt w:val="bullet"/>
      <w:lvlText w:val=""/>
      <w:lvlJc w:val="left"/>
      <w:pPr>
        <w:ind w:left="720" w:hanging="360"/>
      </w:pPr>
      <w:rPr>
        <w:rFonts w:ascii="Wingdings 3" w:hAnsi="Wingdings 3"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E5569E"/>
    <w:multiLevelType w:val="hybridMultilevel"/>
    <w:tmpl w:val="39C23C88"/>
    <w:lvl w:ilvl="0" w:tplc="AB06A944">
      <w:start w:val="1"/>
      <w:numFmt w:val="bullet"/>
      <w:lvlText w:val=""/>
      <w:lvlJc w:val="left"/>
      <w:pPr>
        <w:ind w:left="720" w:hanging="360"/>
      </w:pPr>
      <w:rPr>
        <w:rFonts w:ascii="Wingdings 3" w:hAnsi="Wingdings 3"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B666EA"/>
    <w:multiLevelType w:val="hybridMultilevel"/>
    <w:tmpl w:val="D3201EB0"/>
    <w:lvl w:ilvl="0" w:tplc="AB06A944">
      <w:start w:val="1"/>
      <w:numFmt w:val="bullet"/>
      <w:lvlText w:val=""/>
      <w:lvlJc w:val="left"/>
      <w:pPr>
        <w:ind w:left="720" w:hanging="360"/>
      </w:pPr>
      <w:rPr>
        <w:rFonts w:ascii="Wingdings 3" w:hAnsi="Wingdings 3"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891EBA"/>
    <w:multiLevelType w:val="hybridMultilevel"/>
    <w:tmpl w:val="3856864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F12913"/>
    <w:multiLevelType w:val="hybridMultilevel"/>
    <w:tmpl w:val="61A68C3E"/>
    <w:lvl w:ilvl="0" w:tplc="AF8877C0">
      <w:start w:val="1"/>
      <w:numFmt w:val="bullet"/>
      <w:pStyle w:val="EYBulletedtext1"/>
      <w:lvlText w:val="•"/>
      <w:lvlJc w:val="left"/>
      <w:pPr>
        <w:ind w:left="360" w:hanging="360"/>
      </w:pPr>
      <w:rPr>
        <w:rFonts w:ascii="EYInterstate" w:hAnsi="EYInterstate" w:hint="default"/>
        <w:color w:val="FFE6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D0C7749"/>
    <w:multiLevelType w:val="hybridMultilevel"/>
    <w:tmpl w:val="1BF61F74"/>
    <w:lvl w:ilvl="0" w:tplc="AB06A944">
      <w:start w:val="1"/>
      <w:numFmt w:val="bullet"/>
      <w:lvlText w:val=""/>
      <w:lvlJc w:val="left"/>
      <w:pPr>
        <w:ind w:left="720" w:hanging="360"/>
      </w:pPr>
      <w:rPr>
        <w:rFonts w:ascii="Wingdings 3" w:hAnsi="Wingdings 3"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2"/>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B29"/>
    <w:rsid w:val="000230D4"/>
    <w:rsid w:val="00031899"/>
    <w:rsid w:val="00057116"/>
    <w:rsid w:val="00060AE0"/>
    <w:rsid w:val="000B2F78"/>
    <w:rsid w:val="000C18B9"/>
    <w:rsid w:val="000E3ABE"/>
    <w:rsid w:val="0011014D"/>
    <w:rsid w:val="00126321"/>
    <w:rsid w:val="00136529"/>
    <w:rsid w:val="001600E6"/>
    <w:rsid w:val="001A62EB"/>
    <w:rsid w:val="001E04B9"/>
    <w:rsid w:val="001E0695"/>
    <w:rsid w:val="00202657"/>
    <w:rsid w:val="002A2CC7"/>
    <w:rsid w:val="002B019B"/>
    <w:rsid w:val="002B3960"/>
    <w:rsid w:val="002B4423"/>
    <w:rsid w:val="002B559C"/>
    <w:rsid w:val="002D6E0B"/>
    <w:rsid w:val="002F26DE"/>
    <w:rsid w:val="003130D3"/>
    <w:rsid w:val="003202F0"/>
    <w:rsid w:val="00322B29"/>
    <w:rsid w:val="00332230"/>
    <w:rsid w:val="00343ABA"/>
    <w:rsid w:val="00363BCF"/>
    <w:rsid w:val="00396E9C"/>
    <w:rsid w:val="003B3E03"/>
    <w:rsid w:val="00407861"/>
    <w:rsid w:val="00407F57"/>
    <w:rsid w:val="00412201"/>
    <w:rsid w:val="00433FD2"/>
    <w:rsid w:val="004564DC"/>
    <w:rsid w:val="004644B2"/>
    <w:rsid w:val="00473974"/>
    <w:rsid w:val="004C0E62"/>
    <w:rsid w:val="004C65DA"/>
    <w:rsid w:val="004D52BE"/>
    <w:rsid w:val="0051109F"/>
    <w:rsid w:val="005268ED"/>
    <w:rsid w:val="00563DC4"/>
    <w:rsid w:val="00581DF5"/>
    <w:rsid w:val="00587790"/>
    <w:rsid w:val="005A367F"/>
    <w:rsid w:val="005F4407"/>
    <w:rsid w:val="00633015"/>
    <w:rsid w:val="0063611D"/>
    <w:rsid w:val="0065062B"/>
    <w:rsid w:val="006826C2"/>
    <w:rsid w:val="006961C8"/>
    <w:rsid w:val="006D71D4"/>
    <w:rsid w:val="006E5EAE"/>
    <w:rsid w:val="006E644F"/>
    <w:rsid w:val="006F1C92"/>
    <w:rsid w:val="00702034"/>
    <w:rsid w:val="007109D5"/>
    <w:rsid w:val="007154B7"/>
    <w:rsid w:val="00727075"/>
    <w:rsid w:val="0073670A"/>
    <w:rsid w:val="00795831"/>
    <w:rsid w:val="007F0B82"/>
    <w:rsid w:val="00807342"/>
    <w:rsid w:val="00832B23"/>
    <w:rsid w:val="00861533"/>
    <w:rsid w:val="00873CE1"/>
    <w:rsid w:val="00882455"/>
    <w:rsid w:val="008863A3"/>
    <w:rsid w:val="0089066C"/>
    <w:rsid w:val="00907C56"/>
    <w:rsid w:val="00915E6A"/>
    <w:rsid w:val="009438E4"/>
    <w:rsid w:val="00967087"/>
    <w:rsid w:val="009776D7"/>
    <w:rsid w:val="009B3C69"/>
    <w:rsid w:val="00A30817"/>
    <w:rsid w:val="00A33ADA"/>
    <w:rsid w:val="00A41A3D"/>
    <w:rsid w:val="00A55947"/>
    <w:rsid w:val="00A67B89"/>
    <w:rsid w:val="00A97C85"/>
    <w:rsid w:val="00B24678"/>
    <w:rsid w:val="00B37143"/>
    <w:rsid w:val="00B410DC"/>
    <w:rsid w:val="00B472CE"/>
    <w:rsid w:val="00BB623D"/>
    <w:rsid w:val="00BC17BC"/>
    <w:rsid w:val="00BC2129"/>
    <w:rsid w:val="00C44597"/>
    <w:rsid w:val="00C50882"/>
    <w:rsid w:val="00C6751B"/>
    <w:rsid w:val="00C76DE2"/>
    <w:rsid w:val="00C82B21"/>
    <w:rsid w:val="00CD0F3A"/>
    <w:rsid w:val="00CF3EF8"/>
    <w:rsid w:val="00D13435"/>
    <w:rsid w:val="00D24C2E"/>
    <w:rsid w:val="00D37438"/>
    <w:rsid w:val="00D56E68"/>
    <w:rsid w:val="00DB56EA"/>
    <w:rsid w:val="00DC0F3B"/>
    <w:rsid w:val="00DC362F"/>
    <w:rsid w:val="00DF7498"/>
    <w:rsid w:val="00E11108"/>
    <w:rsid w:val="00E37210"/>
    <w:rsid w:val="00E70DCE"/>
    <w:rsid w:val="00E8231D"/>
    <w:rsid w:val="00E8766B"/>
    <w:rsid w:val="00ED2907"/>
    <w:rsid w:val="00EE26F1"/>
    <w:rsid w:val="00F13A36"/>
    <w:rsid w:val="00F251DC"/>
    <w:rsid w:val="00F2774E"/>
    <w:rsid w:val="00F43B56"/>
    <w:rsid w:val="00F867A7"/>
    <w:rsid w:val="00FA164A"/>
    <w:rsid w:val="00FA6AD2"/>
    <w:rsid w:val="00FC2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29"/>
    <w:pPr>
      <w:spacing w:after="0" w:line="240" w:lineRule="auto"/>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2B29"/>
    <w:pPr>
      <w:tabs>
        <w:tab w:val="center" w:pos="4320"/>
        <w:tab w:val="right" w:pos="8640"/>
      </w:tabs>
    </w:pPr>
  </w:style>
  <w:style w:type="character" w:customStyle="1" w:styleId="HeaderChar">
    <w:name w:val="Header Char"/>
    <w:basedOn w:val="DefaultParagraphFont"/>
    <w:link w:val="Header"/>
    <w:rsid w:val="00322B29"/>
    <w:rPr>
      <w:rFonts w:ascii="Arial" w:eastAsia="Times New Roman" w:hAnsi="Arial" w:cs="Times New Roman"/>
      <w:sz w:val="20"/>
      <w:szCs w:val="24"/>
      <w:lang w:val="en-US"/>
    </w:rPr>
  </w:style>
  <w:style w:type="table" w:styleId="TableGrid">
    <w:name w:val="Table Grid"/>
    <w:basedOn w:val="TableNormal"/>
    <w:rsid w:val="00322B2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Boldsubjectheading">
    <w:name w:val="EY Bold subject heading"/>
    <w:basedOn w:val="Normal"/>
    <w:rsid w:val="00322B29"/>
    <w:pPr>
      <w:suppressAutoHyphens/>
      <w:spacing w:before="480" w:line="260" w:lineRule="atLeast"/>
    </w:pPr>
    <w:rPr>
      <w:b/>
      <w:kern w:val="12"/>
      <w:sz w:val="26"/>
    </w:rPr>
  </w:style>
  <w:style w:type="paragraph" w:customStyle="1" w:styleId="EYFooterinfo">
    <w:name w:val="EY Footer info"/>
    <w:basedOn w:val="Normal"/>
    <w:rsid w:val="00322B29"/>
    <w:pPr>
      <w:suppressAutoHyphens/>
    </w:pPr>
    <w:rPr>
      <w:color w:val="808080"/>
      <w:kern w:val="12"/>
      <w:sz w:val="11"/>
    </w:rPr>
  </w:style>
  <w:style w:type="paragraph" w:customStyle="1" w:styleId="EYDocumentpromptsbold">
    <w:name w:val="EY Document prompts (bold)"/>
    <w:basedOn w:val="Normal"/>
    <w:rsid w:val="00322B29"/>
    <w:pPr>
      <w:suppressAutoHyphens/>
      <w:spacing w:line="260" w:lineRule="atLeast"/>
    </w:pPr>
    <w:rPr>
      <w:rFonts w:ascii="Arial Bold" w:hAnsi="Arial Bold"/>
      <w:b/>
      <w:kern w:val="12"/>
    </w:rPr>
  </w:style>
  <w:style w:type="paragraph" w:customStyle="1" w:styleId="EYContinuationheader">
    <w:name w:val="EY Continuation header"/>
    <w:basedOn w:val="Normal"/>
    <w:rsid w:val="00322B29"/>
    <w:pPr>
      <w:tabs>
        <w:tab w:val="left" w:pos="2495"/>
      </w:tabs>
      <w:suppressAutoHyphens/>
      <w:spacing w:line="260" w:lineRule="atLeast"/>
    </w:pPr>
    <w:rPr>
      <w:kern w:val="12"/>
    </w:rPr>
  </w:style>
  <w:style w:type="paragraph" w:styleId="Footer">
    <w:name w:val="footer"/>
    <w:basedOn w:val="Normal"/>
    <w:link w:val="FooterChar"/>
    <w:rsid w:val="00322B29"/>
    <w:pPr>
      <w:tabs>
        <w:tab w:val="center" w:pos="4320"/>
        <w:tab w:val="right" w:pos="8640"/>
      </w:tabs>
    </w:pPr>
  </w:style>
  <w:style w:type="character" w:customStyle="1" w:styleId="FooterChar">
    <w:name w:val="Footer Char"/>
    <w:basedOn w:val="DefaultParagraphFont"/>
    <w:link w:val="Footer"/>
    <w:rsid w:val="00322B29"/>
    <w:rPr>
      <w:rFonts w:ascii="Arial" w:eastAsia="Times New Roman" w:hAnsi="Arial" w:cs="Times New Roman"/>
      <w:sz w:val="20"/>
      <w:szCs w:val="24"/>
      <w:lang w:val="en-US"/>
    </w:rPr>
  </w:style>
  <w:style w:type="character" w:customStyle="1" w:styleId="EYBodytextwithparaspaceChar">
    <w:name w:val="EY Body text (with para space) Char"/>
    <w:basedOn w:val="DefaultParagraphFont"/>
    <w:link w:val="EYBodytextwithparaspace"/>
    <w:rsid w:val="00322B29"/>
    <w:rPr>
      <w:rFonts w:ascii="Arial" w:hAnsi="Arial"/>
      <w:kern w:val="12"/>
      <w:szCs w:val="24"/>
    </w:rPr>
  </w:style>
  <w:style w:type="paragraph" w:customStyle="1" w:styleId="EYDocumenttitle">
    <w:name w:val="EY Document title"/>
    <w:basedOn w:val="Normal"/>
    <w:next w:val="Normal"/>
    <w:rsid w:val="00322B29"/>
    <w:pPr>
      <w:suppressAutoHyphens/>
    </w:pPr>
    <w:rPr>
      <w:spacing w:val="-4"/>
      <w:kern w:val="12"/>
      <w:sz w:val="36"/>
    </w:rPr>
  </w:style>
  <w:style w:type="paragraph" w:customStyle="1" w:styleId="EYBodytextsubhead2">
    <w:name w:val="EY Body text subhead 2"/>
    <w:basedOn w:val="Normal"/>
    <w:rsid w:val="00322B29"/>
    <w:pPr>
      <w:tabs>
        <w:tab w:val="left" w:pos="907"/>
      </w:tabs>
      <w:suppressAutoHyphens/>
      <w:spacing w:after="200" w:line="500" w:lineRule="atLeast"/>
    </w:pPr>
    <w:rPr>
      <w:rFonts w:ascii="Arial Bold" w:hAnsi="Arial Bold"/>
      <w:b/>
      <w:i/>
      <w:kern w:val="12"/>
    </w:rPr>
  </w:style>
  <w:style w:type="paragraph" w:customStyle="1" w:styleId="EYBodytextwithparaspace">
    <w:name w:val="EY Body text (with para space)"/>
    <w:basedOn w:val="Normal"/>
    <w:link w:val="EYBodytextwithparaspaceChar"/>
    <w:rsid w:val="00322B29"/>
    <w:pPr>
      <w:tabs>
        <w:tab w:val="left" w:pos="907"/>
      </w:tabs>
      <w:suppressAutoHyphens/>
      <w:spacing w:after="400" w:line="360" w:lineRule="auto"/>
    </w:pPr>
    <w:rPr>
      <w:rFonts w:eastAsiaTheme="minorHAnsi" w:cstheme="minorBidi"/>
      <w:kern w:val="12"/>
      <w:sz w:val="22"/>
      <w:lang w:val="en-GB"/>
    </w:rPr>
  </w:style>
  <w:style w:type="paragraph" w:customStyle="1" w:styleId="EYBulletedtext1">
    <w:name w:val="EY Bulleted text 1"/>
    <w:basedOn w:val="EYBodytextwithparaspace"/>
    <w:link w:val="EYBulletedtext1Char"/>
    <w:rsid w:val="00322B29"/>
    <w:pPr>
      <w:numPr>
        <w:numId w:val="1"/>
      </w:numPr>
      <w:tabs>
        <w:tab w:val="clear" w:pos="907"/>
      </w:tabs>
      <w:spacing w:after="0"/>
    </w:pPr>
  </w:style>
  <w:style w:type="character" w:customStyle="1" w:styleId="EYBulletedtext1Char">
    <w:name w:val="EY Bulleted text 1 Char"/>
    <w:basedOn w:val="DefaultParagraphFont"/>
    <w:link w:val="EYBulletedtext1"/>
    <w:rsid w:val="00322B29"/>
    <w:rPr>
      <w:rFonts w:ascii="Arial" w:hAnsi="Arial"/>
      <w:kern w:val="12"/>
      <w:szCs w:val="24"/>
    </w:rPr>
  </w:style>
  <w:style w:type="paragraph" w:customStyle="1" w:styleId="EYHeading2">
    <w:name w:val="EY Heading 2"/>
    <w:basedOn w:val="Normal"/>
    <w:next w:val="EYBodytextwithparaspace"/>
    <w:link w:val="EYHeading2Char"/>
    <w:uiPriority w:val="99"/>
    <w:rsid w:val="00322B29"/>
    <w:pPr>
      <w:keepNext/>
      <w:suppressAutoHyphens/>
      <w:spacing w:before="120" w:after="120"/>
    </w:pPr>
    <w:rPr>
      <w:b/>
      <w:kern w:val="12"/>
      <w:sz w:val="22"/>
      <w:lang w:val="en-GB"/>
    </w:rPr>
  </w:style>
  <w:style w:type="character" w:customStyle="1" w:styleId="EYHeading2Char">
    <w:name w:val="EY Heading 2 Char"/>
    <w:basedOn w:val="DefaultParagraphFont"/>
    <w:link w:val="EYHeading2"/>
    <w:uiPriority w:val="99"/>
    <w:locked/>
    <w:rsid w:val="00322B29"/>
    <w:rPr>
      <w:rFonts w:ascii="Arial" w:eastAsia="Times New Roman" w:hAnsi="Arial" w:cs="Times New Roman"/>
      <w:b/>
      <w:kern w:val="12"/>
      <w:szCs w:val="24"/>
    </w:rPr>
  </w:style>
  <w:style w:type="paragraph" w:styleId="BalloonText">
    <w:name w:val="Balloon Text"/>
    <w:basedOn w:val="Normal"/>
    <w:link w:val="BalloonTextChar"/>
    <w:uiPriority w:val="99"/>
    <w:semiHidden/>
    <w:unhideWhenUsed/>
    <w:rsid w:val="00322B29"/>
    <w:rPr>
      <w:rFonts w:ascii="Tahoma" w:hAnsi="Tahoma" w:cs="Tahoma"/>
      <w:sz w:val="16"/>
      <w:szCs w:val="16"/>
    </w:rPr>
  </w:style>
  <w:style w:type="character" w:customStyle="1" w:styleId="BalloonTextChar">
    <w:name w:val="Balloon Text Char"/>
    <w:basedOn w:val="DefaultParagraphFont"/>
    <w:link w:val="BalloonText"/>
    <w:uiPriority w:val="99"/>
    <w:semiHidden/>
    <w:rsid w:val="00322B29"/>
    <w:rPr>
      <w:rFonts w:ascii="Tahoma" w:eastAsia="Times New Roman" w:hAnsi="Tahoma" w:cs="Tahoma"/>
      <w:sz w:val="16"/>
      <w:szCs w:val="16"/>
      <w:lang w:val="en-US"/>
    </w:rPr>
  </w:style>
  <w:style w:type="paragraph" w:styleId="FootnoteText">
    <w:name w:val="footnote text"/>
    <w:basedOn w:val="Normal"/>
    <w:link w:val="FootnoteTextChar"/>
    <w:uiPriority w:val="99"/>
    <w:semiHidden/>
    <w:unhideWhenUsed/>
    <w:rsid w:val="00057116"/>
    <w:rPr>
      <w:szCs w:val="20"/>
    </w:rPr>
  </w:style>
  <w:style w:type="character" w:customStyle="1" w:styleId="FootnoteTextChar">
    <w:name w:val="Footnote Text Char"/>
    <w:basedOn w:val="DefaultParagraphFont"/>
    <w:link w:val="FootnoteText"/>
    <w:uiPriority w:val="99"/>
    <w:semiHidden/>
    <w:rsid w:val="00057116"/>
    <w:rPr>
      <w:rFonts w:ascii="Arial" w:eastAsia="Times New Roman" w:hAnsi="Arial" w:cs="Times New Roman"/>
      <w:sz w:val="20"/>
      <w:szCs w:val="20"/>
      <w:lang w:val="en-US"/>
    </w:rPr>
  </w:style>
  <w:style w:type="character" w:styleId="FootnoteReference">
    <w:name w:val="footnote reference"/>
    <w:basedOn w:val="DefaultParagraphFont"/>
    <w:uiPriority w:val="99"/>
    <w:semiHidden/>
    <w:unhideWhenUsed/>
    <w:rsid w:val="00057116"/>
    <w:rPr>
      <w:vertAlign w:val="superscript"/>
    </w:rPr>
  </w:style>
  <w:style w:type="character" w:styleId="Hyperlink">
    <w:name w:val="Hyperlink"/>
    <w:basedOn w:val="DefaultParagraphFont"/>
    <w:rsid w:val="00057116"/>
    <w:rPr>
      <w:color w:val="0000FF"/>
      <w:u w:val="single"/>
    </w:rPr>
  </w:style>
  <w:style w:type="character" w:styleId="CommentReference">
    <w:name w:val="annotation reference"/>
    <w:basedOn w:val="DefaultParagraphFont"/>
    <w:uiPriority w:val="99"/>
    <w:semiHidden/>
    <w:unhideWhenUsed/>
    <w:rsid w:val="00E8766B"/>
    <w:rPr>
      <w:sz w:val="16"/>
      <w:szCs w:val="16"/>
    </w:rPr>
  </w:style>
  <w:style w:type="paragraph" w:styleId="CommentText">
    <w:name w:val="annotation text"/>
    <w:basedOn w:val="Normal"/>
    <w:link w:val="CommentTextChar"/>
    <w:uiPriority w:val="99"/>
    <w:semiHidden/>
    <w:unhideWhenUsed/>
    <w:rsid w:val="00E8766B"/>
    <w:rPr>
      <w:szCs w:val="20"/>
    </w:rPr>
  </w:style>
  <w:style w:type="character" w:customStyle="1" w:styleId="CommentTextChar">
    <w:name w:val="Comment Text Char"/>
    <w:basedOn w:val="DefaultParagraphFont"/>
    <w:link w:val="CommentText"/>
    <w:uiPriority w:val="99"/>
    <w:semiHidden/>
    <w:rsid w:val="00E8766B"/>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8766B"/>
    <w:rPr>
      <w:b/>
      <w:bCs/>
    </w:rPr>
  </w:style>
  <w:style w:type="character" w:customStyle="1" w:styleId="CommentSubjectChar">
    <w:name w:val="Comment Subject Char"/>
    <w:basedOn w:val="CommentTextChar"/>
    <w:link w:val="CommentSubject"/>
    <w:uiPriority w:val="99"/>
    <w:semiHidden/>
    <w:rsid w:val="00E8766B"/>
    <w:rPr>
      <w:rFonts w:ascii="Arial" w:eastAsia="Times New Roman" w:hAnsi="Arial" w:cs="Times New Roman"/>
      <w:b/>
      <w:bCs/>
      <w:sz w:val="20"/>
      <w:szCs w:val="20"/>
      <w:lang w:val="en-US"/>
    </w:rPr>
  </w:style>
  <w:style w:type="paragraph" w:styleId="ListParagraph">
    <w:name w:val="List Paragraph"/>
    <w:basedOn w:val="Normal"/>
    <w:uiPriority w:val="34"/>
    <w:qFormat/>
    <w:rsid w:val="000230D4"/>
    <w:pPr>
      <w:ind w:left="720"/>
      <w:contextualSpacing/>
    </w:pPr>
  </w:style>
  <w:style w:type="character" w:customStyle="1" w:styleId="tgc">
    <w:name w:val="_tgc"/>
    <w:basedOn w:val="DefaultParagraphFont"/>
    <w:rsid w:val="00473974"/>
  </w:style>
  <w:style w:type="character" w:styleId="FollowedHyperlink">
    <w:name w:val="FollowedHyperlink"/>
    <w:basedOn w:val="DefaultParagraphFont"/>
    <w:uiPriority w:val="99"/>
    <w:semiHidden/>
    <w:unhideWhenUsed/>
    <w:rsid w:val="00F867A7"/>
    <w:rPr>
      <w:color w:val="800080" w:themeColor="followedHyperlink"/>
      <w:u w:val="single"/>
    </w:rPr>
  </w:style>
  <w:style w:type="paragraph" w:styleId="Revision">
    <w:name w:val="Revision"/>
    <w:hidden/>
    <w:uiPriority w:val="99"/>
    <w:semiHidden/>
    <w:rsid w:val="00F867A7"/>
    <w:pPr>
      <w:spacing w:after="0" w:line="240" w:lineRule="auto"/>
    </w:pPr>
    <w:rPr>
      <w:rFonts w:ascii="Arial" w:eastAsia="Times New Roman" w:hAnsi="Arial" w:cs="Times New Roman"/>
      <w:sz w:val="20"/>
      <w:szCs w:val="24"/>
      <w:lang w:val="en-US"/>
    </w:rPr>
  </w:style>
  <w:style w:type="table" w:customStyle="1" w:styleId="TableGrid1">
    <w:name w:val="Table Grid1"/>
    <w:basedOn w:val="TableNormal"/>
    <w:next w:val="TableGrid"/>
    <w:rsid w:val="00F251D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Businessaddress">
    <w:name w:val="EY Business address"/>
    <w:basedOn w:val="Normal"/>
    <w:link w:val="EYBusinessaddressChar"/>
    <w:rsid w:val="00F251DC"/>
    <w:pPr>
      <w:suppressAutoHyphens/>
      <w:spacing w:line="170" w:lineRule="exact"/>
    </w:pPr>
    <w:rPr>
      <w:color w:val="808080"/>
      <w:kern w:val="12"/>
      <w:sz w:val="15"/>
      <w:lang w:val="ru-RU" w:eastAsia="ru-RU" w:bidi="ru-RU"/>
    </w:rPr>
  </w:style>
  <w:style w:type="paragraph" w:customStyle="1" w:styleId="Legalentityname">
    <w:name w:val="Legal entity name"/>
    <w:basedOn w:val="EYBusinessaddress"/>
    <w:link w:val="LegalentitynameChar"/>
    <w:qFormat/>
    <w:rsid w:val="00F251DC"/>
    <w:pPr>
      <w:spacing w:line="170" w:lineRule="atLeast"/>
    </w:pPr>
    <w:rPr>
      <w:rFonts w:cs="Arial"/>
      <w:b/>
    </w:rPr>
  </w:style>
  <w:style w:type="character" w:customStyle="1" w:styleId="EYBusinessaddressChar">
    <w:name w:val="EY Business address Char"/>
    <w:basedOn w:val="DefaultParagraphFont"/>
    <w:link w:val="EYBusinessaddress"/>
    <w:rsid w:val="00F251DC"/>
    <w:rPr>
      <w:rFonts w:ascii="Arial" w:eastAsia="Times New Roman" w:hAnsi="Arial" w:cs="Times New Roman"/>
      <w:color w:val="808080"/>
      <w:kern w:val="12"/>
      <w:sz w:val="15"/>
      <w:szCs w:val="24"/>
      <w:lang w:val="ru-RU" w:eastAsia="ru-RU" w:bidi="ru-RU"/>
    </w:rPr>
  </w:style>
  <w:style w:type="character" w:customStyle="1" w:styleId="LegalentitynameChar">
    <w:name w:val="Legal entity name Char"/>
    <w:basedOn w:val="EYBusinessaddressChar"/>
    <w:link w:val="Legalentityname"/>
    <w:rsid w:val="00F251DC"/>
    <w:rPr>
      <w:rFonts w:ascii="Arial" w:eastAsia="Times New Roman" w:hAnsi="Arial" w:cs="Arial"/>
      <w:b/>
      <w:color w:val="808080"/>
      <w:kern w:val="12"/>
      <w:sz w:val="15"/>
      <w:szCs w:val="24"/>
      <w:lang w:val="ru-RU" w:eastAsia="ru-RU" w:bidi="ru-RU"/>
    </w:rPr>
  </w:style>
  <w:style w:type="paragraph" w:customStyle="1" w:styleId="address">
    <w:name w:val="address"/>
    <w:basedOn w:val="EYBusinessaddress"/>
    <w:link w:val="addressChar"/>
    <w:qFormat/>
    <w:rsid w:val="00F251DC"/>
    <w:rPr>
      <w:lang w:val="en-US"/>
    </w:rPr>
  </w:style>
  <w:style w:type="character" w:customStyle="1" w:styleId="addressChar">
    <w:name w:val="address Char"/>
    <w:basedOn w:val="EYBusinessaddressChar"/>
    <w:link w:val="address"/>
    <w:rsid w:val="00F251DC"/>
    <w:rPr>
      <w:rFonts w:ascii="Arial" w:eastAsia="Times New Roman" w:hAnsi="Arial" w:cs="Times New Roman"/>
      <w:color w:val="808080"/>
      <w:kern w:val="12"/>
      <w:sz w:val="15"/>
      <w:szCs w:val="24"/>
      <w:lang w:val="en-US"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29"/>
    <w:pPr>
      <w:spacing w:after="0" w:line="240" w:lineRule="auto"/>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2B29"/>
    <w:pPr>
      <w:tabs>
        <w:tab w:val="center" w:pos="4320"/>
        <w:tab w:val="right" w:pos="8640"/>
      </w:tabs>
    </w:pPr>
  </w:style>
  <w:style w:type="character" w:customStyle="1" w:styleId="HeaderChar">
    <w:name w:val="Header Char"/>
    <w:basedOn w:val="DefaultParagraphFont"/>
    <w:link w:val="Header"/>
    <w:rsid w:val="00322B29"/>
    <w:rPr>
      <w:rFonts w:ascii="Arial" w:eastAsia="Times New Roman" w:hAnsi="Arial" w:cs="Times New Roman"/>
      <w:sz w:val="20"/>
      <w:szCs w:val="24"/>
      <w:lang w:val="en-US"/>
    </w:rPr>
  </w:style>
  <w:style w:type="table" w:styleId="TableGrid">
    <w:name w:val="Table Grid"/>
    <w:basedOn w:val="TableNormal"/>
    <w:rsid w:val="00322B2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Boldsubjectheading">
    <w:name w:val="EY Bold subject heading"/>
    <w:basedOn w:val="Normal"/>
    <w:rsid w:val="00322B29"/>
    <w:pPr>
      <w:suppressAutoHyphens/>
      <w:spacing w:before="480" w:line="260" w:lineRule="atLeast"/>
    </w:pPr>
    <w:rPr>
      <w:b/>
      <w:kern w:val="12"/>
      <w:sz w:val="26"/>
    </w:rPr>
  </w:style>
  <w:style w:type="paragraph" w:customStyle="1" w:styleId="EYFooterinfo">
    <w:name w:val="EY Footer info"/>
    <w:basedOn w:val="Normal"/>
    <w:rsid w:val="00322B29"/>
    <w:pPr>
      <w:suppressAutoHyphens/>
    </w:pPr>
    <w:rPr>
      <w:color w:val="808080"/>
      <w:kern w:val="12"/>
      <w:sz w:val="11"/>
    </w:rPr>
  </w:style>
  <w:style w:type="paragraph" w:customStyle="1" w:styleId="EYDocumentpromptsbold">
    <w:name w:val="EY Document prompts (bold)"/>
    <w:basedOn w:val="Normal"/>
    <w:rsid w:val="00322B29"/>
    <w:pPr>
      <w:suppressAutoHyphens/>
      <w:spacing w:line="260" w:lineRule="atLeast"/>
    </w:pPr>
    <w:rPr>
      <w:rFonts w:ascii="Arial Bold" w:hAnsi="Arial Bold"/>
      <w:b/>
      <w:kern w:val="12"/>
    </w:rPr>
  </w:style>
  <w:style w:type="paragraph" w:customStyle="1" w:styleId="EYContinuationheader">
    <w:name w:val="EY Continuation header"/>
    <w:basedOn w:val="Normal"/>
    <w:rsid w:val="00322B29"/>
    <w:pPr>
      <w:tabs>
        <w:tab w:val="left" w:pos="2495"/>
      </w:tabs>
      <w:suppressAutoHyphens/>
      <w:spacing w:line="260" w:lineRule="atLeast"/>
    </w:pPr>
    <w:rPr>
      <w:kern w:val="12"/>
    </w:rPr>
  </w:style>
  <w:style w:type="paragraph" w:styleId="Footer">
    <w:name w:val="footer"/>
    <w:basedOn w:val="Normal"/>
    <w:link w:val="FooterChar"/>
    <w:rsid w:val="00322B29"/>
    <w:pPr>
      <w:tabs>
        <w:tab w:val="center" w:pos="4320"/>
        <w:tab w:val="right" w:pos="8640"/>
      </w:tabs>
    </w:pPr>
  </w:style>
  <w:style w:type="character" w:customStyle="1" w:styleId="FooterChar">
    <w:name w:val="Footer Char"/>
    <w:basedOn w:val="DefaultParagraphFont"/>
    <w:link w:val="Footer"/>
    <w:rsid w:val="00322B29"/>
    <w:rPr>
      <w:rFonts w:ascii="Arial" w:eastAsia="Times New Roman" w:hAnsi="Arial" w:cs="Times New Roman"/>
      <w:sz w:val="20"/>
      <w:szCs w:val="24"/>
      <w:lang w:val="en-US"/>
    </w:rPr>
  </w:style>
  <w:style w:type="character" w:customStyle="1" w:styleId="EYBodytextwithparaspaceChar">
    <w:name w:val="EY Body text (with para space) Char"/>
    <w:basedOn w:val="DefaultParagraphFont"/>
    <w:link w:val="EYBodytextwithparaspace"/>
    <w:rsid w:val="00322B29"/>
    <w:rPr>
      <w:rFonts w:ascii="Arial" w:hAnsi="Arial"/>
      <w:kern w:val="12"/>
      <w:szCs w:val="24"/>
    </w:rPr>
  </w:style>
  <w:style w:type="paragraph" w:customStyle="1" w:styleId="EYDocumenttitle">
    <w:name w:val="EY Document title"/>
    <w:basedOn w:val="Normal"/>
    <w:next w:val="Normal"/>
    <w:rsid w:val="00322B29"/>
    <w:pPr>
      <w:suppressAutoHyphens/>
    </w:pPr>
    <w:rPr>
      <w:spacing w:val="-4"/>
      <w:kern w:val="12"/>
      <w:sz w:val="36"/>
    </w:rPr>
  </w:style>
  <w:style w:type="paragraph" w:customStyle="1" w:styleId="EYBodytextsubhead2">
    <w:name w:val="EY Body text subhead 2"/>
    <w:basedOn w:val="Normal"/>
    <w:rsid w:val="00322B29"/>
    <w:pPr>
      <w:tabs>
        <w:tab w:val="left" w:pos="907"/>
      </w:tabs>
      <w:suppressAutoHyphens/>
      <w:spacing w:after="200" w:line="500" w:lineRule="atLeast"/>
    </w:pPr>
    <w:rPr>
      <w:rFonts w:ascii="Arial Bold" w:hAnsi="Arial Bold"/>
      <w:b/>
      <w:i/>
      <w:kern w:val="12"/>
    </w:rPr>
  </w:style>
  <w:style w:type="paragraph" w:customStyle="1" w:styleId="EYBodytextwithparaspace">
    <w:name w:val="EY Body text (with para space)"/>
    <w:basedOn w:val="Normal"/>
    <w:link w:val="EYBodytextwithparaspaceChar"/>
    <w:rsid w:val="00322B29"/>
    <w:pPr>
      <w:tabs>
        <w:tab w:val="left" w:pos="907"/>
      </w:tabs>
      <w:suppressAutoHyphens/>
      <w:spacing w:after="400" w:line="360" w:lineRule="auto"/>
    </w:pPr>
    <w:rPr>
      <w:rFonts w:eastAsiaTheme="minorHAnsi" w:cstheme="minorBidi"/>
      <w:kern w:val="12"/>
      <w:sz w:val="22"/>
      <w:lang w:val="en-GB"/>
    </w:rPr>
  </w:style>
  <w:style w:type="paragraph" w:customStyle="1" w:styleId="EYBulletedtext1">
    <w:name w:val="EY Bulleted text 1"/>
    <w:basedOn w:val="EYBodytextwithparaspace"/>
    <w:link w:val="EYBulletedtext1Char"/>
    <w:rsid w:val="00322B29"/>
    <w:pPr>
      <w:numPr>
        <w:numId w:val="1"/>
      </w:numPr>
      <w:tabs>
        <w:tab w:val="clear" w:pos="907"/>
      </w:tabs>
      <w:spacing w:after="0"/>
    </w:pPr>
  </w:style>
  <w:style w:type="character" w:customStyle="1" w:styleId="EYBulletedtext1Char">
    <w:name w:val="EY Bulleted text 1 Char"/>
    <w:basedOn w:val="DefaultParagraphFont"/>
    <w:link w:val="EYBulletedtext1"/>
    <w:rsid w:val="00322B29"/>
    <w:rPr>
      <w:rFonts w:ascii="Arial" w:hAnsi="Arial"/>
      <w:kern w:val="12"/>
      <w:szCs w:val="24"/>
    </w:rPr>
  </w:style>
  <w:style w:type="paragraph" w:customStyle="1" w:styleId="EYHeading2">
    <w:name w:val="EY Heading 2"/>
    <w:basedOn w:val="Normal"/>
    <w:next w:val="EYBodytextwithparaspace"/>
    <w:link w:val="EYHeading2Char"/>
    <w:uiPriority w:val="99"/>
    <w:rsid w:val="00322B29"/>
    <w:pPr>
      <w:keepNext/>
      <w:suppressAutoHyphens/>
      <w:spacing w:before="120" w:after="120"/>
    </w:pPr>
    <w:rPr>
      <w:b/>
      <w:kern w:val="12"/>
      <w:sz w:val="22"/>
      <w:lang w:val="en-GB"/>
    </w:rPr>
  </w:style>
  <w:style w:type="character" w:customStyle="1" w:styleId="EYHeading2Char">
    <w:name w:val="EY Heading 2 Char"/>
    <w:basedOn w:val="DefaultParagraphFont"/>
    <w:link w:val="EYHeading2"/>
    <w:uiPriority w:val="99"/>
    <w:locked/>
    <w:rsid w:val="00322B29"/>
    <w:rPr>
      <w:rFonts w:ascii="Arial" w:eastAsia="Times New Roman" w:hAnsi="Arial" w:cs="Times New Roman"/>
      <w:b/>
      <w:kern w:val="12"/>
      <w:szCs w:val="24"/>
    </w:rPr>
  </w:style>
  <w:style w:type="paragraph" w:styleId="BalloonText">
    <w:name w:val="Balloon Text"/>
    <w:basedOn w:val="Normal"/>
    <w:link w:val="BalloonTextChar"/>
    <w:uiPriority w:val="99"/>
    <w:semiHidden/>
    <w:unhideWhenUsed/>
    <w:rsid w:val="00322B29"/>
    <w:rPr>
      <w:rFonts w:ascii="Tahoma" w:hAnsi="Tahoma" w:cs="Tahoma"/>
      <w:sz w:val="16"/>
      <w:szCs w:val="16"/>
    </w:rPr>
  </w:style>
  <w:style w:type="character" w:customStyle="1" w:styleId="BalloonTextChar">
    <w:name w:val="Balloon Text Char"/>
    <w:basedOn w:val="DefaultParagraphFont"/>
    <w:link w:val="BalloonText"/>
    <w:uiPriority w:val="99"/>
    <w:semiHidden/>
    <w:rsid w:val="00322B29"/>
    <w:rPr>
      <w:rFonts w:ascii="Tahoma" w:eastAsia="Times New Roman" w:hAnsi="Tahoma" w:cs="Tahoma"/>
      <w:sz w:val="16"/>
      <w:szCs w:val="16"/>
      <w:lang w:val="en-US"/>
    </w:rPr>
  </w:style>
  <w:style w:type="paragraph" w:styleId="FootnoteText">
    <w:name w:val="footnote text"/>
    <w:basedOn w:val="Normal"/>
    <w:link w:val="FootnoteTextChar"/>
    <w:uiPriority w:val="99"/>
    <w:semiHidden/>
    <w:unhideWhenUsed/>
    <w:rsid w:val="00057116"/>
    <w:rPr>
      <w:szCs w:val="20"/>
    </w:rPr>
  </w:style>
  <w:style w:type="character" w:customStyle="1" w:styleId="FootnoteTextChar">
    <w:name w:val="Footnote Text Char"/>
    <w:basedOn w:val="DefaultParagraphFont"/>
    <w:link w:val="FootnoteText"/>
    <w:uiPriority w:val="99"/>
    <w:semiHidden/>
    <w:rsid w:val="00057116"/>
    <w:rPr>
      <w:rFonts w:ascii="Arial" w:eastAsia="Times New Roman" w:hAnsi="Arial" w:cs="Times New Roman"/>
      <w:sz w:val="20"/>
      <w:szCs w:val="20"/>
      <w:lang w:val="en-US"/>
    </w:rPr>
  </w:style>
  <w:style w:type="character" w:styleId="FootnoteReference">
    <w:name w:val="footnote reference"/>
    <w:basedOn w:val="DefaultParagraphFont"/>
    <w:uiPriority w:val="99"/>
    <w:semiHidden/>
    <w:unhideWhenUsed/>
    <w:rsid w:val="00057116"/>
    <w:rPr>
      <w:vertAlign w:val="superscript"/>
    </w:rPr>
  </w:style>
  <w:style w:type="character" w:styleId="Hyperlink">
    <w:name w:val="Hyperlink"/>
    <w:basedOn w:val="DefaultParagraphFont"/>
    <w:rsid w:val="00057116"/>
    <w:rPr>
      <w:color w:val="0000FF"/>
      <w:u w:val="single"/>
    </w:rPr>
  </w:style>
  <w:style w:type="character" w:styleId="CommentReference">
    <w:name w:val="annotation reference"/>
    <w:basedOn w:val="DefaultParagraphFont"/>
    <w:uiPriority w:val="99"/>
    <w:semiHidden/>
    <w:unhideWhenUsed/>
    <w:rsid w:val="00E8766B"/>
    <w:rPr>
      <w:sz w:val="16"/>
      <w:szCs w:val="16"/>
    </w:rPr>
  </w:style>
  <w:style w:type="paragraph" w:styleId="CommentText">
    <w:name w:val="annotation text"/>
    <w:basedOn w:val="Normal"/>
    <w:link w:val="CommentTextChar"/>
    <w:uiPriority w:val="99"/>
    <w:semiHidden/>
    <w:unhideWhenUsed/>
    <w:rsid w:val="00E8766B"/>
    <w:rPr>
      <w:szCs w:val="20"/>
    </w:rPr>
  </w:style>
  <w:style w:type="character" w:customStyle="1" w:styleId="CommentTextChar">
    <w:name w:val="Comment Text Char"/>
    <w:basedOn w:val="DefaultParagraphFont"/>
    <w:link w:val="CommentText"/>
    <w:uiPriority w:val="99"/>
    <w:semiHidden/>
    <w:rsid w:val="00E8766B"/>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8766B"/>
    <w:rPr>
      <w:b/>
      <w:bCs/>
    </w:rPr>
  </w:style>
  <w:style w:type="character" w:customStyle="1" w:styleId="CommentSubjectChar">
    <w:name w:val="Comment Subject Char"/>
    <w:basedOn w:val="CommentTextChar"/>
    <w:link w:val="CommentSubject"/>
    <w:uiPriority w:val="99"/>
    <w:semiHidden/>
    <w:rsid w:val="00E8766B"/>
    <w:rPr>
      <w:rFonts w:ascii="Arial" w:eastAsia="Times New Roman" w:hAnsi="Arial" w:cs="Times New Roman"/>
      <w:b/>
      <w:bCs/>
      <w:sz w:val="20"/>
      <w:szCs w:val="20"/>
      <w:lang w:val="en-US"/>
    </w:rPr>
  </w:style>
  <w:style w:type="paragraph" w:styleId="ListParagraph">
    <w:name w:val="List Paragraph"/>
    <w:basedOn w:val="Normal"/>
    <w:uiPriority w:val="34"/>
    <w:qFormat/>
    <w:rsid w:val="000230D4"/>
    <w:pPr>
      <w:ind w:left="720"/>
      <w:contextualSpacing/>
    </w:pPr>
  </w:style>
  <w:style w:type="character" w:customStyle="1" w:styleId="tgc">
    <w:name w:val="_tgc"/>
    <w:basedOn w:val="DefaultParagraphFont"/>
    <w:rsid w:val="00473974"/>
  </w:style>
  <w:style w:type="character" w:styleId="FollowedHyperlink">
    <w:name w:val="FollowedHyperlink"/>
    <w:basedOn w:val="DefaultParagraphFont"/>
    <w:uiPriority w:val="99"/>
    <w:semiHidden/>
    <w:unhideWhenUsed/>
    <w:rsid w:val="00F867A7"/>
    <w:rPr>
      <w:color w:val="800080" w:themeColor="followedHyperlink"/>
      <w:u w:val="single"/>
    </w:rPr>
  </w:style>
  <w:style w:type="paragraph" w:styleId="Revision">
    <w:name w:val="Revision"/>
    <w:hidden/>
    <w:uiPriority w:val="99"/>
    <w:semiHidden/>
    <w:rsid w:val="00F867A7"/>
    <w:pPr>
      <w:spacing w:after="0" w:line="240" w:lineRule="auto"/>
    </w:pPr>
    <w:rPr>
      <w:rFonts w:ascii="Arial" w:eastAsia="Times New Roman" w:hAnsi="Arial" w:cs="Times New Roman"/>
      <w:sz w:val="20"/>
      <w:szCs w:val="24"/>
      <w:lang w:val="en-US"/>
    </w:rPr>
  </w:style>
  <w:style w:type="table" w:customStyle="1" w:styleId="TableGrid1">
    <w:name w:val="Table Grid1"/>
    <w:basedOn w:val="TableNormal"/>
    <w:next w:val="TableGrid"/>
    <w:rsid w:val="00F251D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Businessaddress">
    <w:name w:val="EY Business address"/>
    <w:basedOn w:val="Normal"/>
    <w:link w:val="EYBusinessaddressChar"/>
    <w:rsid w:val="00F251DC"/>
    <w:pPr>
      <w:suppressAutoHyphens/>
      <w:spacing w:line="170" w:lineRule="exact"/>
    </w:pPr>
    <w:rPr>
      <w:color w:val="808080"/>
      <w:kern w:val="12"/>
      <w:sz w:val="15"/>
      <w:lang w:val="ru-RU" w:eastAsia="ru-RU" w:bidi="ru-RU"/>
    </w:rPr>
  </w:style>
  <w:style w:type="paragraph" w:customStyle="1" w:styleId="Legalentityname">
    <w:name w:val="Legal entity name"/>
    <w:basedOn w:val="EYBusinessaddress"/>
    <w:link w:val="LegalentitynameChar"/>
    <w:qFormat/>
    <w:rsid w:val="00F251DC"/>
    <w:pPr>
      <w:spacing w:line="170" w:lineRule="atLeast"/>
    </w:pPr>
    <w:rPr>
      <w:rFonts w:cs="Arial"/>
      <w:b/>
    </w:rPr>
  </w:style>
  <w:style w:type="character" w:customStyle="1" w:styleId="EYBusinessaddressChar">
    <w:name w:val="EY Business address Char"/>
    <w:basedOn w:val="DefaultParagraphFont"/>
    <w:link w:val="EYBusinessaddress"/>
    <w:rsid w:val="00F251DC"/>
    <w:rPr>
      <w:rFonts w:ascii="Arial" w:eastAsia="Times New Roman" w:hAnsi="Arial" w:cs="Times New Roman"/>
      <w:color w:val="808080"/>
      <w:kern w:val="12"/>
      <w:sz w:val="15"/>
      <w:szCs w:val="24"/>
      <w:lang w:val="ru-RU" w:eastAsia="ru-RU" w:bidi="ru-RU"/>
    </w:rPr>
  </w:style>
  <w:style w:type="character" w:customStyle="1" w:styleId="LegalentitynameChar">
    <w:name w:val="Legal entity name Char"/>
    <w:basedOn w:val="EYBusinessaddressChar"/>
    <w:link w:val="Legalentityname"/>
    <w:rsid w:val="00F251DC"/>
    <w:rPr>
      <w:rFonts w:ascii="Arial" w:eastAsia="Times New Roman" w:hAnsi="Arial" w:cs="Arial"/>
      <w:b/>
      <w:color w:val="808080"/>
      <w:kern w:val="12"/>
      <w:sz w:val="15"/>
      <w:szCs w:val="24"/>
      <w:lang w:val="ru-RU" w:eastAsia="ru-RU" w:bidi="ru-RU"/>
    </w:rPr>
  </w:style>
  <w:style w:type="paragraph" w:customStyle="1" w:styleId="address">
    <w:name w:val="address"/>
    <w:basedOn w:val="EYBusinessaddress"/>
    <w:link w:val="addressChar"/>
    <w:qFormat/>
    <w:rsid w:val="00F251DC"/>
    <w:rPr>
      <w:lang w:val="en-US"/>
    </w:rPr>
  </w:style>
  <w:style w:type="character" w:customStyle="1" w:styleId="addressChar">
    <w:name w:val="address Char"/>
    <w:basedOn w:val="EYBusinessaddressChar"/>
    <w:link w:val="address"/>
    <w:rsid w:val="00F251DC"/>
    <w:rPr>
      <w:rFonts w:ascii="Arial" w:eastAsia="Times New Roman" w:hAnsi="Arial" w:cs="Times New Roman"/>
      <w:color w:val="808080"/>
      <w:kern w:val="12"/>
      <w:sz w:val="15"/>
      <w:szCs w:val="24"/>
      <w:lang w:val="en-US"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46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Gleb.Kostarev@ru.ey.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global.lifesciences@ey.com" TargetMode="External"/><Relationship Id="rId2" Type="http://schemas.openxmlformats.org/officeDocument/2006/relationships/customXml" Target="../customXml/item2.xml"/><Relationship Id="rId16" Type="http://schemas.openxmlformats.org/officeDocument/2006/relationships/hyperlink" Target="mailto:ey.com/lifescienc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ey.com/VitalSigns"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y.com/firepowerinde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1.wmf"/><Relationship Id="rId2" Type="http://schemas.openxmlformats.org/officeDocument/2006/relationships/hyperlink" Target="http://www.ey.com/russia" TargetMode="External"/><Relationship Id="rId1" Type="http://schemas.openxmlformats.org/officeDocument/2006/relationships/hyperlink" Target="http://www.ey.com/rus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2016-01-11T00:00:00+00:00</_DCDateModified>
    <Project_x0020_Name xmlns="46a9ae74-2162-4b2a-a154-5ea09e4d93e4">26</Project_x0020_Name>
    <Global_x0020_Sector xmlns="46a9ae74-2162-4b2a-a154-5ea09e4d93e4">Life Sciences</Global_x0020_Sector>
    <PublishingContact xmlns="http://schemas.microsoft.com/sharepoint/v3">
      <UserInfo>
        <DisplayName>Peter Kelley</DisplayName>
        <AccountId>219</AccountId>
        <AccountType/>
      </UserInfo>
    </PublishingContact>
    <Classification_x0020_Status xmlns="35818088-e62d-4edf-bbb6-409430aef268">Pending classification</Classification_x0020_Status>
    <_dlc_DocId xmlns="46a9ae74-2162-4b2a-a154-5ea09e4d93e4">EKUECYRUT4JJ-7-420</_dlc_DocId>
    <_dlc_DocIdUrl xmlns="46a9ae74-2162-4b2a-a154-5ea09e4d93e4">
      <Url>https://share.ey.net/sites/pronline/_layouts/15/DocIdRedir.aspx?ID=EKUECYRUT4JJ-7-420</Url>
      <Description>EKUECYRUT4JJ-7-420</Description>
    </_dlc_DocIdUrl>
    <ClassificationDataNoteField xmlns="35818088-e62d-4edf-bbb6-409430aef268">fb830c9b-d95d-449c-a5a8-76e1c4fc2c89;2016-01-06 02:42:43;PENDINGCLASSIFICATION;False;False</ClassificationDataNoteField>
    <e0e024ccac5240e69ae9c38a41bfa7a5 xmlns="35818088-e62d-4edf-bbb6-409430aef268">
      <Terms xmlns="http://schemas.microsoft.com/office/infopath/2007/PartnerControls">
        <TermInfo xmlns="http://schemas.microsoft.com/office/infopath/2007/PartnerControls">
          <TermName xmlns="http://schemas.microsoft.com/office/infopath/2007/PartnerControls">Life Sciences</TermName>
          <TermId xmlns="http://schemas.microsoft.com/office/infopath/2007/PartnerControls">0e8795b7-1bf1-4a04-818f-a4e1784f7bad</TermId>
        </TermInfo>
      </Terms>
    </e0e024ccac5240e69ae9c38a41bfa7a5>
    <TaxCatchAll xmlns="35818088-e62d-4edf-bbb6-409430aef268">
      <Value>20</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Media Relations Sector Content Type" ma:contentTypeID="0x010100EBADE475EB53D543A98A31C6E06665AA0400794543A9D82EF04D82ABF627343B9FC0" ma:contentTypeVersion="9" ma:contentTypeDescription="Add Sector Content Type" ma:contentTypeScope="" ma:versionID="e266ad037b4366f55d10d5922e5e0464">
  <xsd:schema xmlns:xsd="http://www.w3.org/2001/XMLSchema" xmlns:xs="http://www.w3.org/2001/XMLSchema" xmlns:p="http://schemas.microsoft.com/office/2006/metadata/properties" xmlns:ns1="http://schemas.microsoft.com/sharepoint/v3" xmlns:ns2="46a9ae74-2162-4b2a-a154-5ea09e4d93e4" xmlns:ns3="http://schemas.microsoft.com/sharepoint/v3/fields" xmlns:ns4="35818088-e62d-4edf-bbb6-409430aef268" targetNamespace="http://schemas.microsoft.com/office/2006/metadata/properties" ma:root="true" ma:fieldsID="b021b2bdcc4a2d4fd0c7d67c2772a90d" ns1:_="" ns2:_="" ns3:_="" ns4:_="">
    <xsd:import namespace="http://schemas.microsoft.com/sharepoint/v3"/>
    <xsd:import namespace="46a9ae74-2162-4b2a-a154-5ea09e4d93e4"/>
    <xsd:import namespace="http://schemas.microsoft.com/sharepoint/v3/fields"/>
    <xsd:import namespace="35818088-e62d-4edf-bbb6-409430aef268"/>
    <xsd:element name="properties">
      <xsd:complexType>
        <xsd:sequence>
          <xsd:element name="documentManagement">
            <xsd:complexType>
              <xsd:all>
                <xsd:element ref="ns2:_dlc_DocId" minOccurs="0"/>
                <xsd:element ref="ns2:_dlc_DocIdUrl" minOccurs="0"/>
                <xsd:element ref="ns2:_dlc_DocIdPersistId" minOccurs="0"/>
                <xsd:element ref="ns1:PublishingContact" minOccurs="0"/>
                <xsd:element ref="ns3:_DCDateModified" minOccurs="0"/>
                <xsd:element ref="ns4:TaxCatchAll" minOccurs="0"/>
                <xsd:element ref="ns4:TaxCatchAllLabel" minOccurs="0"/>
                <xsd:element ref="ns4:e0e024ccac5240e69ae9c38a41bfa7a5" minOccurs="0"/>
                <xsd:element ref="ns2:Project_x0020_Name"/>
                <xsd:element ref="ns2:Global_x0020_Sector" minOccurs="0"/>
                <xsd:element ref="ns4:ClassificationDataNoteField" minOccurs="0"/>
                <xsd:element ref="ns4:Classification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13"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a9ae74-2162-4b2a-a154-5ea09e4d93e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ject_x0020_Name" ma:index="19" ma:displayName="Project Name" ma:description="Lookup PR Projects" ma:list="{58dc98e1-200c-41d1-a7c5-da8a2fdb2dbf}" ma:internalName="Project_x0020_Name" ma:showField="Title" ma:web="46a9ae74-2162-4b2a-a154-5ea09e4d93e4">
      <xsd:simpleType>
        <xsd:restriction base="dms:Lookup"/>
      </xsd:simpleType>
    </xsd:element>
    <xsd:element name="Global_x0020_Sector" ma:index="20" nillable="true" ma:displayName="Global Sector" ma:default="Wealth and Asset Management" ma:description="Choose Sector" ma:format="Dropdown" ma:internalName="Global_x0020_Sector" ma:readOnly="false">
      <xsd:simpleType>
        <xsd:restriction base="dms:Choice">
          <xsd:enumeration value="None"/>
          <xsd:enumeration value="Wealth and Asset Management"/>
          <xsd:enumeration value="Automotive"/>
          <xsd:enumeration value="Banking &amp; Capital Markets"/>
          <xsd:enumeration value="Consumer Products &amp; Retail"/>
          <xsd:enumeration value="Government &amp; Public Sector"/>
          <xsd:enumeration value="Insurance"/>
          <xsd:enumeration value="Life Sciences"/>
          <xsd:enumeration value="Media &amp; Entertainment"/>
          <xsd:enumeration value="Mining &amp; Metals"/>
          <xsd:enumeration value="Oil &amp; Gas"/>
          <xsd:enumeration value="Power &amp; Utilities"/>
          <xsd:enumeration value="Private Equity"/>
          <xsd:enumeration value="Real Estate"/>
          <xsd:enumeration value="Technology"/>
          <xsd:enumeration value="Telecommunications"/>
          <xsd:enumeration value="Health Car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4" nillable="true" ma:displayName="Date Modified"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5818088-e62d-4edf-bbb6-409430aef26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86fab53-c5bd-4dd3-ad35-80335fc15af7}" ma:internalName="TaxCatchAll" ma:showField="CatchAllData" ma:web="46a9ae74-2162-4b2a-a154-5ea09e4d93e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986fab53-c5bd-4dd3-ad35-80335fc15af7}" ma:internalName="TaxCatchAllLabel" ma:readOnly="true" ma:showField="CatchAllDataLabel" ma:web="46a9ae74-2162-4b2a-a154-5ea09e4d93e4">
      <xsd:complexType>
        <xsd:complexContent>
          <xsd:extension base="dms:MultiChoiceLookup">
            <xsd:sequence>
              <xsd:element name="Value" type="dms:Lookup" maxOccurs="unbounded" minOccurs="0" nillable="true"/>
            </xsd:sequence>
          </xsd:extension>
        </xsd:complexContent>
      </xsd:complexType>
    </xsd:element>
    <xsd:element name="e0e024ccac5240e69ae9c38a41bfa7a5" ma:index="17" nillable="true" ma:taxonomy="true" ma:internalName="e0e024ccac5240e69ae9c38a41bfa7a5" ma:taxonomyFieldName="Sector" ma:displayName="Sector" ma:readOnly="false" ma:default="" ma:fieldId="{e0e024cc-ac52-40e6-9ae9-c38a41bfa7a5}" ma:sspId="9cc9f4e4-efc4-4954-9a3a-92fa8d4fa5d0" ma:termSetId="a2f97da7-e69b-4e00-a045-c556c68352c3" ma:anchorId="00000000-0000-0000-0000-000000000000" ma:open="false" ma:isKeyword="false">
      <xsd:complexType>
        <xsd:sequence>
          <xsd:element ref="pc:Terms" minOccurs="0" maxOccurs="1"/>
        </xsd:sequence>
      </xsd:complexType>
    </xsd:element>
    <xsd:element name="ClassificationDataNoteField" ma:index="21" nillable="true" ma:displayName="ClassificationDataNoteField" ma:internalName="ClassificationDataNoteField" ma:readOnly="true">
      <xsd:simpleType>
        <xsd:restriction base="dms:Note"/>
      </xsd:simpleType>
    </xsd:element>
    <xsd:element name="Classification_x0020_Status" ma:index="22" nillable="true" ma:displayName="Classification Status" ma:internalName="Classification_x0020_Statu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3A3C8-04C9-4D0A-8EDB-89A366183CB0}">
  <ds:schemaRefs>
    <ds:schemaRef ds:uri="http://schemas.microsoft.com/sharepoint/v3/contenttype/forms"/>
  </ds:schemaRefs>
</ds:datastoreItem>
</file>

<file path=customXml/itemProps2.xml><?xml version="1.0" encoding="utf-8"?>
<ds:datastoreItem xmlns:ds="http://schemas.openxmlformats.org/officeDocument/2006/customXml" ds:itemID="{D1CB4738-A305-44BF-B51F-521B68C93965}">
  <ds:schemaRefs>
    <ds:schemaRef ds:uri="http://schemas.microsoft.com/sharepoint/events"/>
  </ds:schemaRefs>
</ds:datastoreItem>
</file>

<file path=customXml/itemProps3.xml><?xml version="1.0" encoding="utf-8"?>
<ds:datastoreItem xmlns:ds="http://schemas.openxmlformats.org/officeDocument/2006/customXml" ds:itemID="{1449D4EB-0A2C-46CB-85FE-5C94B1E88791}">
  <ds:schemaRefs>
    <ds:schemaRef ds:uri="http://schemas.microsoft.com/office/2006/metadata/properties"/>
    <ds:schemaRef ds:uri="http://schemas.microsoft.com/office/infopath/2007/PartnerControls"/>
    <ds:schemaRef ds:uri="http://schemas.microsoft.com/sharepoint/v3/fields"/>
    <ds:schemaRef ds:uri="46a9ae74-2162-4b2a-a154-5ea09e4d93e4"/>
    <ds:schemaRef ds:uri="http://schemas.microsoft.com/sharepoint/v3"/>
    <ds:schemaRef ds:uri="35818088-e62d-4edf-bbb6-409430aef268"/>
  </ds:schemaRefs>
</ds:datastoreItem>
</file>

<file path=customXml/itemProps4.xml><?xml version="1.0" encoding="utf-8"?>
<ds:datastoreItem xmlns:ds="http://schemas.openxmlformats.org/officeDocument/2006/customXml" ds:itemID="{AB8C0BC9-CAA6-4FA9-B29C-8D64A601F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a9ae74-2162-4b2a-a154-5ea09e4d93e4"/>
    <ds:schemaRef ds:uri="http://schemas.microsoft.com/sharepoint/v3/fields"/>
    <ds:schemaRef ds:uri="35818088-e62d-4edf-bbb6-409430aef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E04DDC-51E2-4FEE-B806-A12B3ECF1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RELEASE - 2016 Firepower - Annual Life Sciences M&amp;A report</vt:lpstr>
    </vt:vector>
  </TitlesOfParts>
  <Company>Ernst &amp; Young</Company>
  <LinksUpToDate>false</LinksUpToDate>
  <CharactersWithSpaces>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- 2016 Firepower - Annual Life Sciences M&amp;A report</dc:title>
  <dc:creator>Peter Kelley</dc:creator>
  <cp:lastModifiedBy>Tatiana V Garnina</cp:lastModifiedBy>
  <cp:revision>2</cp:revision>
  <dcterms:created xsi:type="dcterms:W3CDTF">2016-03-01T10:28:00Z</dcterms:created>
  <dcterms:modified xsi:type="dcterms:W3CDTF">2016-03-01T10:28:00Z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0x010100EBADE475EB53D543A98A31C6E06665AA0400794543A9D82EF04D82ABF627343B9FC0</vt:lpwstr>
  </property>
  <property fmtid="{D5CDD505-2E9C-101B-9397-08002B2CF9AE}" pid="3" name="_dlc_DocIdItemGuid">
    <vt:lpwstr>31f3cb4f-c28d-4863-9d82-cc3460501e56</vt:lpwstr>
  </property>
  <property fmtid="{D5CDD505-2E9C-101B-9397-08002B2CF9AE}" pid="4" name="Sector">
    <vt:lpwstr>20;#Life Sciences|0e8795b7-1bf1-4a04-818f-a4e1784f7bad</vt:lpwstr>
  </property>
</Properties>
</file>