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47" w:rsidRDefault="00192A47" w:rsidP="00192A47">
      <w:pPr>
        <w:spacing w:line="276" w:lineRule="auto"/>
        <w:rPr>
          <w:rFonts w:ascii="Arial" w:hAnsi="Arial" w:cs="Arial"/>
          <w:b/>
          <w:color w:val="000000"/>
          <w:sz w:val="20"/>
          <w:szCs w:val="20"/>
        </w:rPr>
      </w:pPr>
    </w:p>
    <w:tbl>
      <w:tblPr>
        <w:tblW w:w="9285"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1"/>
        <w:gridCol w:w="2484"/>
      </w:tblGrid>
      <w:tr w:rsidR="00192A47" w:rsidTr="00192A47">
        <w:trPr>
          <w:trHeight w:val="691"/>
        </w:trPr>
        <w:tc>
          <w:tcPr>
            <w:tcW w:w="6804" w:type="dxa"/>
            <w:tcBorders>
              <w:top w:val="nil"/>
              <w:left w:val="nil"/>
              <w:bottom w:val="nil"/>
              <w:right w:val="nil"/>
            </w:tcBorders>
            <w:tcMar>
              <w:top w:w="80" w:type="dxa"/>
              <w:left w:w="80" w:type="dxa"/>
              <w:bottom w:w="80" w:type="dxa"/>
              <w:right w:w="80" w:type="dxa"/>
            </w:tcMar>
            <w:hideMark/>
          </w:tcPr>
          <w:p w:rsidR="00192A47" w:rsidRDefault="00192A47">
            <w:pPr>
              <w:pStyle w:val="TextA"/>
              <w:jc w:val="both"/>
              <w:rPr>
                <w:rFonts w:eastAsia="Arial Unicode MS"/>
              </w:rPr>
            </w:pPr>
            <w:r>
              <w:rPr>
                <w:rFonts w:eastAsia="Arial Unicode MS"/>
                <w:noProof/>
                <w:lang w:val="en-US" w:eastAsia="en-US"/>
              </w:rPr>
              <w:drawing>
                <wp:inline distT="0" distB="0" distL="0" distR="0">
                  <wp:extent cx="14001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361950"/>
                          </a:xfrm>
                          <a:prstGeom prst="rect">
                            <a:avLst/>
                          </a:prstGeom>
                          <a:noFill/>
                          <a:ln>
                            <a:noFill/>
                          </a:ln>
                        </pic:spPr>
                      </pic:pic>
                    </a:graphicData>
                  </a:graphic>
                </wp:inline>
              </w:drawing>
            </w:r>
          </w:p>
        </w:tc>
        <w:tc>
          <w:tcPr>
            <w:tcW w:w="2485" w:type="dxa"/>
            <w:tcBorders>
              <w:top w:val="nil"/>
              <w:left w:val="nil"/>
              <w:bottom w:val="nil"/>
              <w:right w:val="nil"/>
            </w:tcBorders>
            <w:tcMar>
              <w:top w:w="80" w:type="dxa"/>
              <w:left w:w="80" w:type="dxa"/>
              <w:bottom w:w="80" w:type="dxa"/>
              <w:right w:w="80" w:type="dxa"/>
            </w:tcMar>
          </w:tcPr>
          <w:p w:rsidR="00192A47" w:rsidRDefault="00192A47">
            <w:pPr>
              <w:spacing w:line="276" w:lineRule="auto"/>
              <w:jc w:val="both"/>
              <w:rPr>
                <w:rFonts w:ascii="Arial" w:hAnsi="Arial" w:cs="Arial"/>
                <w:color w:val="000000"/>
                <w:sz w:val="20"/>
                <w:szCs w:val="20"/>
                <w:lang w:val="de-DE" w:eastAsia="de-DE"/>
              </w:rPr>
            </w:pPr>
          </w:p>
        </w:tc>
      </w:tr>
    </w:tbl>
    <w:p w:rsidR="00192A47" w:rsidRDefault="00192A47" w:rsidP="00B2772A">
      <w:pPr>
        <w:pStyle w:val="BodyText"/>
        <w:jc w:val="both"/>
        <w:rPr>
          <w:rFonts w:cs="Arial"/>
        </w:rPr>
      </w:pPr>
      <w:r>
        <w:rPr>
          <w:rFonts w:cs="Arial"/>
        </w:rPr>
        <w:t>Press Release</w:t>
      </w:r>
    </w:p>
    <w:p w:rsidR="00192A47" w:rsidRPr="001F6E52" w:rsidRDefault="001F6E52" w:rsidP="001F6E52">
      <w:pPr>
        <w:spacing w:line="276" w:lineRule="auto"/>
        <w:jc w:val="center"/>
        <w:rPr>
          <w:rFonts w:ascii="Arial" w:hAnsi="Arial" w:cs="Arial"/>
          <w:b/>
          <w:color w:val="000000"/>
          <w:sz w:val="24"/>
          <w:szCs w:val="24"/>
        </w:rPr>
      </w:pPr>
      <w:r w:rsidRPr="001F6E52">
        <w:rPr>
          <w:rFonts w:ascii="Arial" w:hAnsi="Arial" w:cs="Arial"/>
          <w:b/>
          <w:color w:val="000000"/>
          <w:sz w:val="24"/>
          <w:szCs w:val="24"/>
        </w:rPr>
        <w:t xml:space="preserve">Dentons to combine with leading Scottish law firm </w:t>
      </w:r>
      <w:proofErr w:type="spellStart"/>
      <w:r w:rsidRPr="001F6E52">
        <w:rPr>
          <w:rFonts w:ascii="Arial" w:hAnsi="Arial" w:cs="Arial"/>
          <w:b/>
          <w:color w:val="000000"/>
          <w:sz w:val="24"/>
          <w:szCs w:val="24"/>
        </w:rPr>
        <w:t>Maclay</w:t>
      </w:r>
      <w:proofErr w:type="spellEnd"/>
      <w:r w:rsidRPr="001F6E52">
        <w:rPr>
          <w:rFonts w:ascii="Arial" w:hAnsi="Arial" w:cs="Arial"/>
          <w:b/>
          <w:color w:val="000000"/>
          <w:sz w:val="24"/>
          <w:szCs w:val="24"/>
        </w:rPr>
        <w:t xml:space="preserve"> Murray &amp; </w:t>
      </w:r>
      <w:proofErr w:type="spellStart"/>
      <w:r w:rsidRPr="001F6E52">
        <w:rPr>
          <w:rFonts w:ascii="Arial" w:hAnsi="Arial" w:cs="Arial"/>
          <w:b/>
          <w:color w:val="000000"/>
          <w:sz w:val="24"/>
          <w:szCs w:val="24"/>
        </w:rPr>
        <w:t>Spens</w:t>
      </w:r>
      <w:proofErr w:type="spellEnd"/>
    </w:p>
    <w:p w:rsidR="001F6E52" w:rsidRDefault="001F6E52" w:rsidP="00B2772A">
      <w:pPr>
        <w:spacing w:line="276" w:lineRule="auto"/>
        <w:rPr>
          <w:rFonts w:ascii="Arial" w:hAnsi="Arial" w:cs="Arial"/>
          <w:color w:val="000000"/>
          <w:sz w:val="20"/>
          <w:szCs w:val="20"/>
        </w:rPr>
      </w:pPr>
    </w:p>
    <w:p w:rsidR="001F6E52" w:rsidRPr="001F6E52" w:rsidRDefault="00CE108B" w:rsidP="001F6E52">
      <w:pPr>
        <w:jc w:val="both"/>
        <w:rPr>
          <w:rFonts w:ascii="Arial" w:hAnsi="Arial" w:cs="Arial"/>
          <w:sz w:val="20"/>
          <w:szCs w:val="20"/>
          <w:lang w:val="en-GB"/>
        </w:rPr>
      </w:pPr>
      <w:r w:rsidRPr="00CE108B">
        <w:rPr>
          <w:rFonts w:ascii="Arial" w:hAnsi="Arial" w:cs="Arial"/>
          <w:sz w:val="20"/>
          <w:szCs w:val="20"/>
        </w:rPr>
        <w:t xml:space="preserve">24 </w:t>
      </w:r>
      <w:r>
        <w:rPr>
          <w:rFonts w:ascii="Arial" w:hAnsi="Arial" w:cs="Arial"/>
          <w:sz w:val="20"/>
          <w:szCs w:val="20"/>
        </w:rPr>
        <w:t xml:space="preserve">July 2017 – </w:t>
      </w:r>
      <w:r w:rsidR="001F6E52" w:rsidRPr="001F6E52">
        <w:rPr>
          <w:rFonts w:ascii="Arial" w:hAnsi="Arial" w:cs="Arial"/>
          <w:sz w:val="20"/>
          <w:szCs w:val="20"/>
          <w:lang w:val="en-GB"/>
        </w:rPr>
        <w:t xml:space="preserve">Dentons, the world's largest law firm, </w:t>
      </w:r>
      <w:r w:rsidR="007E3A89">
        <w:rPr>
          <w:rFonts w:ascii="Arial" w:hAnsi="Arial" w:cs="Arial"/>
          <w:sz w:val="20"/>
          <w:szCs w:val="20"/>
          <w:lang w:val="en-GB"/>
        </w:rPr>
        <w:t xml:space="preserve">has </w:t>
      </w:r>
      <w:r w:rsidR="001F6E52" w:rsidRPr="001F6E52">
        <w:rPr>
          <w:rFonts w:ascii="Arial" w:hAnsi="Arial" w:cs="Arial"/>
          <w:sz w:val="20"/>
          <w:szCs w:val="20"/>
          <w:lang w:val="en-GB"/>
        </w:rPr>
        <w:t xml:space="preserve">announced that it is to combine with leading Scottish firm </w:t>
      </w:r>
      <w:proofErr w:type="spellStart"/>
      <w:r w:rsidR="001F6E52" w:rsidRPr="001F6E52">
        <w:rPr>
          <w:rFonts w:ascii="Arial" w:hAnsi="Arial" w:cs="Arial"/>
          <w:sz w:val="20"/>
          <w:szCs w:val="20"/>
          <w:lang w:val="en-GB"/>
        </w:rPr>
        <w:t>Maclay</w:t>
      </w:r>
      <w:proofErr w:type="spellEnd"/>
      <w:r w:rsidR="001F6E52" w:rsidRPr="001F6E52">
        <w:rPr>
          <w:rFonts w:ascii="Arial" w:hAnsi="Arial" w:cs="Arial"/>
          <w:sz w:val="20"/>
          <w:szCs w:val="20"/>
          <w:lang w:val="en-GB"/>
        </w:rPr>
        <w:t xml:space="preserve"> Murray &amp; </w:t>
      </w:r>
      <w:proofErr w:type="spellStart"/>
      <w:r w:rsidR="001F6E52" w:rsidRPr="001F6E52">
        <w:rPr>
          <w:rFonts w:ascii="Arial" w:hAnsi="Arial" w:cs="Arial"/>
          <w:sz w:val="20"/>
          <w:szCs w:val="20"/>
          <w:lang w:val="en-GB"/>
        </w:rPr>
        <w:t>Spens</w:t>
      </w:r>
      <w:proofErr w:type="spellEnd"/>
      <w:r w:rsidR="001F6E52" w:rsidRPr="001F6E52">
        <w:rPr>
          <w:rFonts w:ascii="Arial" w:hAnsi="Arial" w:cs="Arial"/>
          <w:sz w:val="20"/>
          <w:szCs w:val="20"/>
          <w:lang w:val="en-GB"/>
        </w:rPr>
        <w:t xml:space="preserve">. The combination, which is expected to complete later in 2017 following approval by the partnerships of both firms, will offer clients the services of around 800 fee earners in the UK, including 200 partners, operating from offices in Aberdeen, Edinburgh, Glasgow, London, Milton Keynes and Watford. </w:t>
      </w:r>
      <w:r w:rsidR="001F6E52" w:rsidRPr="001F6E52">
        <w:rPr>
          <w:rFonts w:ascii="Arial" w:hAnsi="Arial" w:cs="Arial"/>
          <w:sz w:val="20"/>
          <w:szCs w:val="20"/>
          <w:lang w:eastAsia="ja-JP"/>
        </w:rPr>
        <w:t>Dentons will have around 8,700 lawyers and professionals.</w:t>
      </w:r>
    </w:p>
    <w:p w:rsidR="001F6E52" w:rsidRPr="001F6E52" w:rsidRDefault="001F6E52" w:rsidP="001F6E52">
      <w:pPr>
        <w:jc w:val="both"/>
        <w:rPr>
          <w:rFonts w:ascii="Arial" w:hAnsi="Arial" w:cs="Arial"/>
          <w:sz w:val="20"/>
          <w:szCs w:val="20"/>
          <w:lang w:val="en-GB"/>
        </w:rPr>
      </w:pPr>
    </w:p>
    <w:p w:rsidR="001F6E52" w:rsidRPr="001F6E52" w:rsidRDefault="001F6E52" w:rsidP="001F6E52">
      <w:pPr>
        <w:jc w:val="both"/>
        <w:rPr>
          <w:rFonts w:ascii="Arial" w:hAnsi="Arial" w:cs="Arial"/>
          <w:sz w:val="20"/>
          <w:szCs w:val="20"/>
          <w:lang w:val="en-GB"/>
        </w:rPr>
      </w:pPr>
      <w:r w:rsidRPr="001F6E52">
        <w:rPr>
          <w:rFonts w:ascii="Arial" w:hAnsi="Arial" w:cs="Arial"/>
          <w:sz w:val="20"/>
          <w:szCs w:val="20"/>
          <w:lang w:val="en-GB"/>
        </w:rPr>
        <w:t xml:space="preserve">"This combination will significantly enhance our scale and capabilities in the UK," said Dentons' Global Chief Executive Officer Elliott Portnoy. "Combining with strong, independent and well-established firms is central to Dentons' 'in and of the community' ethos, and with its rich history in the Scottish market </w:t>
      </w:r>
      <w:proofErr w:type="spellStart"/>
      <w:r w:rsidRPr="001F6E52">
        <w:rPr>
          <w:rFonts w:ascii="Arial" w:hAnsi="Arial" w:cs="Arial"/>
          <w:sz w:val="20"/>
          <w:szCs w:val="20"/>
          <w:lang w:val="en-GB"/>
        </w:rPr>
        <w:t>Maclay</w:t>
      </w:r>
      <w:proofErr w:type="spellEnd"/>
      <w:r w:rsidRPr="001F6E52">
        <w:rPr>
          <w:rFonts w:ascii="Arial" w:hAnsi="Arial" w:cs="Arial"/>
          <w:sz w:val="20"/>
          <w:szCs w:val="20"/>
          <w:lang w:val="en-GB"/>
        </w:rPr>
        <w:t xml:space="preserve"> Murray &amp; </w:t>
      </w:r>
      <w:proofErr w:type="spellStart"/>
      <w:r w:rsidRPr="001F6E52">
        <w:rPr>
          <w:rFonts w:ascii="Arial" w:hAnsi="Arial" w:cs="Arial"/>
          <w:sz w:val="20"/>
          <w:szCs w:val="20"/>
          <w:lang w:val="en-GB"/>
        </w:rPr>
        <w:t>Spens</w:t>
      </w:r>
      <w:proofErr w:type="spellEnd"/>
      <w:r w:rsidRPr="001F6E52">
        <w:rPr>
          <w:rFonts w:ascii="Arial" w:hAnsi="Arial" w:cs="Arial"/>
          <w:sz w:val="20"/>
          <w:szCs w:val="20"/>
          <w:lang w:val="en-GB"/>
        </w:rPr>
        <w:t xml:space="preserve"> fits very much into this category. Following soon after our recent combinations with equally high-quality firms in Latin America and the Netherlands, this development accelerates Dentons' momentum as we continue our journey 'from largest to leading.'"</w:t>
      </w:r>
    </w:p>
    <w:p w:rsidR="001F6E52" w:rsidRPr="001F6E52" w:rsidRDefault="001F6E52" w:rsidP="001F6E52">
      <w:pPr>
        <w:jc w:val="both"/>
        <w:rPr>
          <w:rFonts w:ascii="Arial" w:hAnsi="Arial" w:cs="Arial"/>
          <w:sz w:val="20"/>
          <w:szCs w:val="20"/>
          <w:lang w:val="en-GB"/>
        </w:rPr>
      </w:pPr>
    </w:p>
    <w:p w:rsidR="001F6E52" w:rsidRPr="001F6E52" w:rsidRDefault="001F6E52" w:rsidP="001F6E52">
      <w:pPr>
        <w:jc w:val="both"/>
        <w:rPr>
          <w:rFonts w:ascii="Arial" w:hAnsi="Arial" w:cs="Arial"/>
          <w:sz w:val="20"/>
          <w:szCs w:val="20"/>
          <w:lang w:val="en-GB"/>
        </w:rPr>
      </w:pPr>
      <w:r w:rsidRPr="001F6E52">
        <w:rPr>
          <w:rFonts w:ascii="Arial" w:hAnsi="Arial" w:cs="Arial"/>
          <w:sz w:val="20"/>
          <w:szCs w:val="20"/>
          <w:lang w:val="en-GB"/>
        </w:rPr>
        <w:t>"</w:t>
      </w:r>
      <w:proofErr w:type="spellStart"/>
      <w:r w:rsidRPr="001F6E52">
        <w:rPr>
          <w:rFonts w:ascii="Arial" w:hAnsi="Arial" w:cs="Arial"/>
          <w:sz w:val="20"/>
          <w:szCs w:val="20"/>
          <w:lang w:val="en-GB"/>
        </w:rPr>
        <w:t>Maclay</w:t>
      </w:r>
      <w:proofErr w:type="spellEnd"/>
      <w:r w:rsidRPr="001F6E52">
        <w:rPr>
          <w:rFonts w:ascii="Arial" w:hAnsi="Arial" w:cs="Arial"/>
          <w:sz w:val="20"/>
          <w:szCs w:val="20"/>
          <w:lang w:val="en-GB"/>
        </w:rPr>
        <w:t xml:space="preserve"> Murray &amp; </w:t>
      </w:r>
      <w:proofErr w:type="spellStart"/>
      <w:r w:rsidRPr="001F6E52">
        <w:rPr>
          <w:rFonts w:ascii="Arial" w:hAnsi="Arial" w:cs="Arial"/>
          <w:sz w:val="20"/>
          <w:szCs w:val="20"/>
          <w:lang w:val="en-GB"/>
        </w:rPr>
        <w:t>Spens</w:t>
      </w:r>
      <w:proofErr w:type="spellEnd"/>
      <w:r w:rsidRPr="001F6E52">
        <w:rPr>
          <w:rFonts w:ascii="Arial" w:hAnsi="Arial" w:cs="Arial"/>
          <w:sz w:val="20"/>
          <w:szCs w:val="20"/>
          <w:lang w:val="en-GB"/>
        </w:rPr>
        <w:t xml:space="preserve"> is a Scottish leader in some of our strongest practices and sectors including Financial Services, Energy, Transport &amp; Infrastructure, and Real Estate," said Jeremy Cohen, Chief Executive Officer for Dentons' UK and Middle East region. "By combining we will also significantly increase our out-of-London capability. Working seamlessly with colleagues in London, our Milton Keynes and Watford offices already enable us to deliver enhanced value to many of our largest clients. This combination will upscale that ability by a very considerable margin."</w:t>
      </w:r>
    </w:p>
    <w:p w:rsidR="001F6E52" w:rsidRPr="001F6E52" w:rsidRDefault="001F6E52" w:rsidP="001F6E52">
      <w:pPr>
        <w:jc w:val="both"/>
        <w:rPr>
          <w:rFonts w:ascii="Arial" w:hAnsi="Arial" w:cs="Arial"/>
          <w:sz w:val="20"/>
          <w:szCs w:val="20"/>
          <w:lang w:val="en-GB"/>
        </w:rPr>
      </w:pPr>
    </w:p>
    <w:p w:rsidR="001F6E52" w:rsidRPr="001F6E52" w:rsidRDefault="001F6E52" w:rsidP="001F6E52">
      <w:pPr>
        <w:jc w:val="both"/>
        <w:rPr>
          <w:rFonts w:ascii="Arial" w:hAnsi="Arial" w:cs="Arial"/>
          <w:sz w:val="20"/>
          <w:szCs w:val="20"/>
          <w:lang w:val="en-GB"/>
        </w:rPr>
      </w:pPr>
      <w:r w:rsidRPr="001F6E52">
        <w:rPr>
          <w:rFonts w:ascii="Arial" w:hAnsi="Arial" w:cs="Arial"/>
          <w:sz w:val="20"/>
          <w:szCs w:val="20"/>
          <w:lang w:val="en-GB"/>
        </w:rPr>
        <w:t xml:space="preserve">"Joining forces with the world's largest law firm is tremendously exciting for us," said Kenneth </w:t>
      </w:r>
      <w:proofErr w:type="spellStart"/>
      <w:r w:rsidRPr="001F6E52">
        <w:rPr>
          <w:rFonts w:ascii="Arial" w:hAnsi="Arial" w:cs="Arial"/>
          <w:sz w:val="20"/>
          <w:szCs w:val="20"/>
          <w:lang w:val="en-GB"/>
        </w:rPr>
        <w:t>Shand</w:t>
      </w:r>
      <w:proofErr w:type="spellEnd"/>
      <w:r w:rsidRPr="001F6E52">
        <w:rPr>
          <w:rFonts w:ascii="Arial" w:hAnsi="Arial" w:cs="Arial"/>
          <w:sz w:val="20"/>
          <w:szCs w:val="20"/>
          <w:lang w:val="en-GB"/>
        </w:rPr>
        <w:t xml:space="preserve">, Chief Executive Officer of </w:t>
      </w:r>
      <w:proofErr w:type="spellStart"/>
      <w:r w:rsidRPr="001F6E52">
        <w:rPr>
          <w:rFonts w:ascii="Arial" w:hAnsi="Arial" w:cs="Arial"/>
          <w:sz w:val="20"/>
          <w:szCs w:val="20"/>
          <w:lang w:val="en-GB"/>
        </w:rPr>
        <w:t>Maclay</w:t>
      </w:r>
      <w:proofErr w:type="spellEnd"/>
      <w:r w:rsidRPr="001F6E52">
        <w:rPr>
          <w:rFonts w:ascii="Arial" w:hAnsi="Arial" w:cs="Arial"/>
          <w:sz w:val="20"/>
          <w:szCs w:val="20"/>
          <w:lang w:val="en-GB"/>
        </w:rPr>
        <w:t xml:space="preserve"> Murray &amp; </w:t>
      </w:r>
      <w:proofErr w:type="spellStart"/>
      <w:r w:rsidRPr="001F6E52">
        <w:rPr>
          <w:rFonts w:ascii="Arial" w:hAnsi="Arial" w:cs="Arial"/>
          <w:sz w:val="20"/>
          <w:szCs w:val="20"/>
          <w:lang w:val="en-GB"/>
        </w:rPr>
        <w:t>Spens</w:t>
      </w:r>
      <w:proofErr w:type="spellEnd"/>
      <w:r w:rsidRPr="001F6E52">
        <w:rPr>
          <w:rFonts w:ascii="Arial" w:hAnsi="Arial" w:cs="Arial"/>
          <w:sz w:val="20"/>
          <w:szCs w:val="20"/>
          <w:lang w:val="en-GB"/>
        </w:rPr>
        <w:t xml:space="preserve">. "With offices across the Americas, Europe, Africa and Asia-Pacific, Dentons will unquestionably be the only significant player in Scotland which is a genuinely global firm. We will have a unique ability to offer Scottish businesses with international ambitions access to the largest array of legal talent in the world, and international firms with an interest in Scotland, the resources of one of the </w:t>
      </w:r>
      <w:proofErr w:type="gramStart"/>
      <w:r w:rsidRPr="001F6E52">
        <w:rPr>
          <w:rFonts w:ascii="Arial" w:hAnsi="Arial" w:cs="Arial"/>
          <w:sz w:val="20"/>
          <w:szCs w:val="20"/>
          <w:lang w:val="en-GB"/>
        </w:rPr>
        <w:t>world's</w:t>
      </w:r>
      <w:proofErr w:type="gramEnd"/>
      <w:r w:rsidRPr="001F6E52">
        <w:rPr>
          <w:rFonts w:ascii="Arial" w:hAnsi="Arial" w:cs="Arial"/>
          <w:sz w:val="20"/>
          <w:szCs w:val="20"/>
          <w:lang w:val="en-GB"/>
        </w:rPr>
        <w:t xml:space="preserve"> most innovative and forward-thinking law firms."</w:t>
      </w:r>
    </w:p>
    <w:p w:rsidR="001F6E52" w:rsidRPr="001F6E52" w:rsidRDefault="001F6E52" w:rsidP="001F6E52">
      <w:pPr>
        <w:jc w:val="both"/>
        <w:rPr>
          <w:rFonts w:ascii="Arial" w:hAnsi="Arial" w:cs="Arial"/>
          <w:sz w:val="20"/>
          <w:szCs w:val="20"/>
          <w:lang w:val="en-GB"/>
        </w:rPr>
      </w:pPr>
    </w:p>
    <w:p w:rsidR="001F6E52" w:rsidRPr="001F6E52" w:rsidRDefault="001F6E52" w:rsidP="001F6E52">
      <w:pPr>
        <w:jc w:val="both"/>
        <w:rPr>
          <w:rFonts w:ascii="Arial" w:hAnsi="Arial" w:cs="Arial"/>
          <w:sz w:val="20"/>
          <w:szCs w:val="20"/>
          <w:lang w:val="en-GB"/>
        </w:rPr>
      </w:pPr>
      <w:r w:rsidRPr="001F6E52">
        <w:rPr>
          <w:rFonts w:ascii="Arial" w:hAnsi="Arial" w:cs="Arial"/>
          <w:sz w:val="20"/>
          <w:szCs w:val="20"/>
          <w:lang w:val="en-GB"/>
        </w:rPr>
        <w:t xml:space="preserve">"Our vision is to offer clients the 'law firm of the future' now," said Dentons' Global Chairman Joe Andrew. "By enhancing our ability to serve national and multi-national clients in the UK, the world's second largest legal market, and continuing to innovate in client service delivery, Dentons continues to set the pace in the global legal market." </w:t>
      </w:r>
    </w:p>
    <w:p w:rsidR="001F6E52" w:rsidRPr="001F6E52" w:rsidRDefault="001F6E52" w:rsidP="001F6E52">
      <w:pPr>
        <w:jc w:val="both"/>
        <w:rPr>
          <w:rFonts w:ascii="Arial" w:hAnsi="Arial" w:cs="Arial"/>
          <w:sz w:val="20"/>
          <w:szCs w:val="20"/>
          <w:lang w:val="en-GB"/>
        </w:rPr>
      </w:pPr>
    </w:p>
    <w:p w:rsidR="001F6E52" w:rsidRPr="001F6E52" w:rsidRDefault="001F6E52" w:rsidP="001F6E52">
      <w:pPr>
        <w:pStyle w:val="BodyText"/>
        <w:spacing w:after="0" w:line="240" w:lineRule="auto"/>
        <w:jc w:val="both"/>
        <w:rPr>
          <w:rFonts w:cs="Arial"/>
          <w:b/>
          <w:bCs/>
          <w:szCs w:val="20"/>
        </w:rPr>
      </w:pPr>
      <w:r w:rsidRPr="001F6E52">
        <w:rPr>
          <w:rFonts w:cs="Arial"/>
          <w:szCs w:val="20"/>
        </w:rPr>
        <w:t xml:space="preserve">Upon completion of the combination, </w:t>
      </w:r>
      <w:proofErr w:type="spellStart"/>
      <w:r w:rsidRPr="001F6E52">
        <w:rPr>
          <w:rFonts w:cs="Arial"/>
          <w:szCs w:val="20"/>
        </w:rPr>
        <w:t>Maclay</w:t>
      </w:r>
      <w:proofErr w:type="spellEnd"/>
      <w:r w:rsidRPr="001F6E52">
        <w:rPr>
          <w:rFonts w:cs="Arial"/>
          <w:szCs w:val="20"/>
        </w:rPr>
        <w:t xml:space="preserve"> Murray &amp; </w:t>
      </w:r>
      <w:proofErr w:type="spellStart"/>
      <w:r w:rsidRPr="001F6E52">
        <w:rPr>
          <w:rFonts w:cs="Arial"/>
          <w:szCs w:val="20"/>
        </w:rPr>
        <w:t>Spens</w:t>
      </w:r>
      <w:proofErr w:type="spellEnd"/>
      <w:r w:rsidRPr="001F6E52">
        <w:rPr>
          <w:rFonts w:cs="Arial"/>
          <w:szCs w:val="20"/>
        </w:rPr>
        <w:t xml:space="preserve"> will transition to the Dentons brand.</w:t>
      </w:r>
    </w:p>
    <w:p w:rsidR="001F6E52" w:rsidRDefault="001F6E52" w:rsidP="001F6E52">
      <w:pPr>
        <w:pStyle w:val="BodyText"/>
        <w:spacing w:after="0" w:line="240" w:lineRule="auto"/>
        <w:rPr>
          <w:b/>
          <w:bCs/>
        </w:rPr>
      </w:pPr>
    </w:p>
    <w:p w:rsidR="00CE108B" w:rsidRPr="007E3A89" w:rsidRDefault="00CE108B" w:rsidP="001F6E52">
      <w:pPr>
        <w:pStyle w:val="BodyText"/>
        <w:rPr>
          <w:b/>
          <w:bCs/>
          <w:lang w:val="en-US"/>
        </w:rPr>
      </w:pPr>
    </w:p>
    <w:p w:rsidR="001F6E52" w:rsidRDefault="001F6E52" w:rsidP="001F6E52">
      <w:pPr>
        <w:pStyle w:val="BodyText"/>
        <w:rPr>
          <w:b/>
          <w:bCs/>
        </w:rPr>
      </w:pPr>
      <w:r>
        <w:rPr>
          <w:b/>
          <w:bCs/>
        </w:rPr>
        <w:t>About Dentons</w:t>
      </w:r>
    </w:p>
    <w:p w:rsidR="001F6E52" w:rsidRDefault="001F6E52" w:rsidP="001F6E52">
      <w:pPr>
        <w:pStyle w:val="BodyText"/>
        <w:jc w:val="both"/>
      </w:pPr>
      <w:r>
        <w:t xml:space="preserve">Dentons is the world's largest law firm*, delivering quality and value to clients around the globe. Dentons is a leader on the </w:t>
      </w:r>
      <w:proofErr w:type="spellStart"/>
      <w:r>
        <w:t>Acritas</w:t>
      </w:r>
      <w:proofErr w:type="spellEnd"/>
      <w:r>
        <w:t xml:space="preserve"> Global Elite Brand Index, a BTI Client Service 30 Award winner and recognized by prominent business and legal publications for its innovations in client service, including founding </w:t>
      </w:r>
      <w:proofErr w:type="spellStart"/>
      <w:r>
        <w:t>Nextlaw</w:t>
      </w:r>
      <w:proofErr w:type="spellEnd"/>
      <w:r>
        <w:t xml:space="preserve"> Labs and the </w:t>
      </w:r>
      <w:proofErr w:type="spellStart"/>
      <w:r>
        <w:t>Nextlaw</w:t>
      </w:r>
      <w:proofErr w:type="spellEnd"/>
      <w:r>
        <w:t xml:space="preserve"> Global Referral Network. Dentons' polycentric approach and world-class talent challenge the status quo to advance client interests in the communities in which we live and work.</w:t>
      </w:r>
    </w:p>
    <w:p w:rsidR="001F6E52" w:rsidRPr="007E3A89" w:rsidRDefault="001F6E52" w:rsidP="001F6E52">
      <w:pPr>
        <w:pStyle w:val="BodyText"/>
        <w:jc w:val="both"/>
        <w:rPr>
          <w:lang w:val="en-US"/>
        </w:rPr>
      </w:pPr>
      <w:r>
        <w:t>During 2016/17 Dentons consolidated its position as the largest law firm in the world by combining with firms in Australia, Colombia, Costa Rica, Guatemala, Mexico, the Netherlands, Panama and Singapore, and launching new offices in Munich, Oakland, Rome, Tbilisi, and Watford. The Firm has over 8,000 lawyers in over 60 countries.</w:t>
      </w:r>
    </w:p>
    <w:p w:rsidR="00CE108B" w:rsidRPr="000415C0" w:rsidRDefault="00CE108B" w:rsidP="00CE108B">
      <w:pPr>
        <w:jc w:val="both"/>
        <w:rPr>
          <w:rFonts w:ascii="Arial" w:hAnsi="Arial" w:cs="Arial"/>
          <w:color w:val="000000"/>
          <w:sz w:val="16"/>
          <w:szCs w:val="16"/>
        </w:rPr>
      </w:pPr>
      <w:r w:rsidRPr="000415C0">
        <w:rPr>
          <w:rFonts w:ascii="Arial" w:hAnsi="Arial" w:cs="Arial"/>
          <w:color w:val="000000"/>
          <w:sz w:val="16"/>
          <w:szCs w:val="16"/>
        </w:rPr>
        <w:lastRenderedPageBreak/>
        <w:t xml:space="preserve">* 2016 The American Lawyer – </w:t>
      </w:r>
      <w:r w:rsidRPr="000415C0">
        <w:rPr>
          <w:rFonts w:ascii="Arial" w:hAnsi="Arial" w:cs="Arial"/>
          <w:iCs/>
          <w:color w:val="000000"/>
          <w:sz w:val="16"/>
          <w:szCs w:val="16"/>
        </w:rPr>
        <w:t>Ranking of 100 international law firms by number of lawyers</w:t>
      </w:r>
      <w:r w:rsidRPr="000415C0">
        <w:rPr>
          <w:rFonts w:ascii="Arial" w:hAnsi="Arial" w:cs="Arial"/>
          <w:color w:val="000000"/>
          <w:sz w:val="16"/>
          <w:szCs w:val="16"/>
        </w:rPr>
        <w:t>.</w:t>
      </w:r>
    </w:p>
    <w:p w:rsidR="00CE108B" w:rsidRPr="00CE108B" w:rsidRDefault="00CE108B" w:rsidP="001F6E52">
      <w:pPr>
        <w:pStyle w:val="BodyText"/>
        <w:jc w:val="both"/>
        <w:rPr>
          <w:lang w:val="en-US"/>
        </w:rPr>
      </w:pPr>
    </w:p>
    <w:p w:rsidR="001F6E52" w:rsidRDefault="001F6E52" w:rsidP="001F6E52">
      <w:pPr>
        <w:pStyle w:val="BodyText"/>
        <w:jc w:val="both"/>
        <w:rPr>
          <w:b/>
          <w:bCs/>
        </w:rPr>
      </w:pPr>
      <w:r>
        <w:rPr>
          <w:b/>
          <w:bCs/>
        </w:rPr>
        <w:t xml:space="preserve">About </w:t>
      </w:r>
      <w:proofErr w:type="spellStart"/>
      <w:r>
        <w:rPr>
          <w:b/>
          <w:bCs/>
        </w:rPr>
        <w:t>Maclay</w:t>
      </w:r>
      <w:proofErr w:type="spellEnd"/>
      <w:r>
        <w:rPr>
          <w:b/>
          <w:bCs/>
        </w:rPr>
        <w:t xml:space="preserve"> Murray &amp; </w:t>
      </w:r>
      <w:proofErr w:type="spellStart"/>
      <w:r>
        <w:rPr>
          <w:b/>
          <w:bCs/>
        </w:rPr>
        <w:t>Spens</w:t>
      </w:r>
      <w:proofErr w:type="spellEnd"/>
      <w:r>
        <w:rPr>
          <w:b/>
          <w:bCs/>
        </w:rPr>
        <w:t xml:space="preserve"> LLP</w:t>
      </w:r>
    </w:p>
    <w:p w:rsidR="001F6E52" w:rsidRDefault="001F6E52" w:rsidP="001F6E52">
      <w:pPr>
        <w:pStyle w:val="BodyText"/>
        <w:jc w:val="both"/>
      </w:pPr>
      <w:proofErr w:type="spellStart"/>
      <w:r>
        <w:t>Maclay</w:t>
      </w:r>
      <w:proofErr w:type="spellEnd"/>
      <w:r>
        <w:t xml:space="preserve"> Murray &amp; </w:t>
      </w:r>
      <w:proofErr w:type="spellStart"/>
      <w:r>
        <w:t>Spens</w:t>
      </w:r>
      <w:proofErr w:type="spellEnd"/>
      <w:r>
        <w:t xml:space="preserve"> LLP (MMS) is a UK-wide full-service commercial law firm with offices in Aberdeen, Glasgow, Edinburgh and London. One of the largest and longest-established Scottish legal firms, it was founded in Glasgow in 1871 and was the first commercial law practice to be formed in Scotland.</w:t>
      </w:r>
    </w:p>
    <w:p w:rsidR="001F6E52" w:rsidRDefault="001F6E52" w:rsidP="001F6E52">
      <w:pPr>
        <w:pStyle w:val="BodyText"/>
        <w:jc w:val="both"/>
      </w:pPr>
      <w:r>
        <w:t>The firm is recognised in 30 Chambers categories, with 44 citations of leading individual lawyers.  It is also ranked Tier 1 or 2 by Chambers in: Banking &amp; Finance; Competition; Corporate/M&amp;A; Financial Services: Payments Law; Infrastructure/PPP; Rail; IP; Real Estate; Real Estate Litigation; and Tax.</w:t>
      </w:r>
    </w:p>
    <w:p w:rsidR="000415C0" w:rsidRDefault="000415C0" w:rsidP="001F6E52">
      <w:pPr>
        <w:jc w:val="both"/>
        <w:rPr>
          <w:rFonts w:ascii="Arial" w:hAnsi="Arial" w:cs="Arial"/>
          <w:color w:val="000000"/>
          <w:sz w:val="16"/>
          <w:szCs w:val="16"/>
        </w:rPr>
      </w:pPr>
    </w:p>
    <w:p w:rsidR="00192A47" w:rsidRPr="000415C0" w:rsidRDefault="00192A47" w:rsidP="001F6E52">
      <w:pPr>
        <w:spacing w:line="276" w:lineRule="auto"/>
        <w:jc w:val="both"/>
        <w:rPr>
          <w:rFonts w:ascii="Arial" w:eastAsia="Times New Roman" w:hAnsi="Arial" w:cs="Arial"/>
          <w:color w:val="7030A0"/>
          <w:sz w:val="16"/>
          <w:szCs w:val="16"/>
          <w:lang w:eastAsia="de-DE"/>
        </w:rPr>
      </w:pPr>
    </w:p>
    <w:p w:rsidR="00052E91" w:rsidRPr="00C026A2" w:rsidRDefault="00052E91" w:rsidP="001F6E52">
      <w:pPr>
        <w:pStyle w:val="ListParagraph"/>
        <w:autoSpaceDE w:val="0"/>
        <w:autoSpaceDN w:val="0"/>
        <w:spacing w:line="276" w:lineRule="auto"/>
        <w:ind w:left="708"/>
        <w:jc w:val="both"/>
        <w:rPr>
          <w:rFonts w:ascii="Arial" w:hAnsi="Arial" w:cs="Arial"/>
          <w:color w:val="000000"/>
          <w:sz w:val="20"/>
          <w:szCs w:val="20"/>
        </w:rPr>
      </w:pPr>
      <w:bookmarkStart w:id="0" w:name="_GoBack"/>
      <w:bookmarkEnd w:id="0"/>
    </w:p>
    <w:p w:rsidR="00CE108B" w:rsidRPr="00C026A2" w:rsidRDefault="00CE108B">
      <w:pPr>
        <w:pStyle w:val="ListParagraph"/>
        <w:autoSpaceDE w:val="0"/>
        <w:autoSpaceDN w:val="0"/>
        <w:spacing w:line="276" w:lineRule="auto"/>
        <w:ind w:left="708"/>
        <w:jc w:val="both"/>
        <w:rPr>
          <w:rFonts w:ascii="Arial" w:hAnsi="Arial" w:cs="Arial"/>
          <w:color w:val="000000"/>
          <w:sz w:val="20"/>
          <w:szCs w:val="20"/>
        </w:rPr>
      </w:pPr>
    </w:p>
    <w:sectPr w:rsidR="00CE108B" w:rsidRPr="00C026A2" w:rsidSect="007E3A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6A" w:rsidRDefault="00E3726A" w:rsidP="007743BD">
      <w:r>
        <w:separator/>
      </w:r>
    </w:p>
  </w:endnote>
  <w:endnote w:type="continuationSeparator" w:id="0">
    <w:p w:rsidR="00E3726A" w:rsidRDefault="00E3726A" w:rsidP="007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Footer"/>
    </w:pPr>
  </w:p>
  <w:p w:rsidR="00ED04E1" w:rsidRDefault="00ED04E1">
    <w:pPr>
      <w:pStyle w:val="Footer"/>
    </w:pPr>
    <w:r>
      <w:fldChar w:fldCharType="begin"/>
    </w:r>
    <w:r w:rsidRPr="00ED04E1">
      <w:rPr>
        <w:rFonts w:ascii="Verdana" w:hAnsi="Verdana"/>
        <w:sz w:val="16"/>
      </w:rPr>
      <w:instrText xml:space="preserve"> DOCPROPERTY ImanageFooterVariable </w:instrText>
    </w:r>
    <w:r>
      <w:fldChar w:fldCharType="separate"/>
    </w:r>
    <w:r w:rsidR="007E3A89">
      <w:rPr>
        <w:rFonts w:ascii="Verdana" w:hAnsi="Verdana"/>
        <w:sz w:val="16"/>
      </w:rPr>
      <w:t>Moscow 5402656.1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6A" w:rsidRDefault="00E3726A" w:rsidP="007743BD">
      <w:r>
        <w:separator/>
      </w:r>
    </w:p>
  </w:footnote>
  <w:footnote w:type="continuationSeparator" w:id="0">
    <w:p w:rsidR="00E3726A" w:rsidRDefault="00E3726A" w:rsidP="0077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E1" w:rsidRDefault="00ED0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9D0"/>
    <w:multiLevelType w:val="hybridMultilevel"/>
    <w:tmpl w:val="A37E8228"/>
    <w:lvl w:ilvl="0" w:tplc="B3BA56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F1266B"/>
    <w:multiLevelType w:val="hybridMultilevel"/>
    <w:tmpl w:val="030C4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9212C4"/>
    <w:multiLevelType w:val="hybridMultilevel"/>
    <w:tmpl w:val="2D42CC3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Brett">
    <w15:presenceInfo w15:providerId="None" w15:userId="Diana B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BD"/>
    <w:rsid w:val="000415C0"/>
    <w:rsid w:val="00052E91"/>
    <w:rsid w:val="00061248"/>
    <w:rsid w:val="00063375"/>
    <w:rsid w:val="00070379"/>
    <w:rsid w:val="000936FF"/>
    <w:rsid w:val="000C30AF"/>
    <w:rsid w:val="000E6794"/>
    <w:rsid w:val="000E6FBB"/>
    <w:rsid w:val="00167BC2"/>
    <w:rsid w:val="00175D4E"/>
    <w:rsid w:val="00192687"/>
    <w:rsid w:val="00192A47"/>
    <w:rsid w:val="00192B44"/>
    <w:rsid w:val="001A4359"/>
    <w:rsid w:val="001F6E52"/>
    <w:rsid w:val="002704F1"/>
    <w:rsid w:val="00294C6C"/>
    <w:rsid w:val="002A7272"/>
    <w:rsid w:val="002B58B9"/>
    <w:rsid w:val="002C209D"/>
    <w:rsid w:val="002E0A8B"/>
    <w:rsid w:val="002F046F"/>
    <w:rsid w:val="002F6A56"/>
    <w:rsid w:val="002F7247"/>
    <w:rsid w:val="002F7D48"/>
    <w:rsid w:val="00303B23"/>
    <w:rsid w:val="00327119"/>
    <w:rsid w:val="00342196"/>
    <w:rsid w:val="0036520D"/>
    <w:rsid w:val="003A29B9"/>
    <w:rsid w:val="003D76D8"/>
    <w:rsid w:val="003E49E9"/>
    <w:rsid w:val="003F6C43"/>
    <w:rsid w:val="00425672"/>
    <w:rsid w:val="00436F71"/>
    <w:rsid w:val="00460DD0"/>
    <w:rsid w:val="00481A9E"/>
    <w:rsid w:val="004A7CAC"/>
    <w:rsid w:val="004C5B46"/>
    <w:rsid w:val="004D03B6"/>
    <w:rsid w:val="004D22E6"/>
    <w:rsid w:val="004D428D"/>
    <w:rsid w:val="004D6B21"/>
    <w:rsid w:val="004E4AEE"/>
    <w:rsid w:val="004F112A"/>
    <w:rsid w:val="005234D1"/>
    <w:rsid w:val="00543E92"/>
    <w:rsid w:val="00554F86"/>
    <w:rsid w:val="00575907"/>
    <w:rsid w:val="00575BA8"/>
    <w:rsid w:val="00582C90"/>
    <w:rsid w:val="00586B6D"/>
    <w:rsid w:val="005B7A04"/>
    <w:rsid w:val="005D511C"/>
    <w:rsid w:val="005D72A8"/>
    <w:rsid w:val="0060127E"/>
    <w:rsid w:val="00635C54"/>
    <w:rsid w:val="006616AC"/>
    <w:rsid w:val="00664210"/>
    <w:rsid w:val="00667E4E"/>
    <w:rsid w:val="00670CA8"/>
    <w:rsid w:val="006A63CA"/>
    <w:rsid w:val="006F7D93"/>
    <w:rsid w:val="00713085"/>
    <w:rsid w:val="00736D36"/>
    <w:rsid w:val="00740863"/>
    <w:rsid w:val="00746344"/>
    <w:rsid w:val="00755A07"/>
    <w:rsid w:val="00767B73"/>
    <w:rsid w:val="00770112"/>
    <w:rsid w:val="007743BD"/>
    <w:rsid w:val="007A74DD"/>
    <w:rsid w:val="007D420F"/>
    <w:rsid w:val="007E3A89"/>
    <w:rsid w:val="007F0E2F"/>
    <w:rsid w:val="007F49B1"/>
    <w:rsid w:val="007F6918"/>
    <w:rsid w:val="00820582"/>
    <w:rsid w:val="0083329E"/>
    <w:rsid w:val="00852854"/>
    <w:rsid w:val="00862A9C"/>
    <w:rsid w:val="008E1291"/>
    <w:rsid w:val="009132E3"/>
    <w:rsid w:val="00926392"/>
    <w:rsid w:val="00930733"/>
    <w:rsid w:val="009335AF"/>
    <w:rsid w:val="0097543B"/>
    <w:rsid w:val="00980C89"/>
    <w:rsid w:val="009A1FA3"/>
    <w:rsid w:val="00A10B71"/>
    <w:rsid w:val="00A261DB"/>
    <w:rsid w:val="00A50502"/>
    <w:rsid w:val="00A6509A"/>
    <w:rsid w:val="00A91C08"/>
    <w:rsid w:val="00A923F9"/>
    <w:rsid w:val="00AA0B3C"/>
    <w:rsid w:val="00AA0D36"/>
    <w:rsid w:val="00AA6615"/>
    <w:rsid w:val="00AE0681"/>
    <w:rsid w:val="00AF509B"/>
    <w:rsid w:val="00B24201"/>
    <w:rsid w:val="00B2772A"/>
    <w:rsid w:val="00B32EB6"/>
    <w:rsid w:val="00B37285"/>
    <w:rsid w:val="00B41CA3"/>
    <w:rsid w:val="00B830F4"/>
    <w:rsid w:val="00B847B5"/>
    <w:rsid w:val="00BB08F3"/>
    <w:rsid w:val="00BB3D35"/>
    <w:rsid w:val="00BD45FB"/>
    <w:rsid w:val="00BE2626"/>
    <w:rsid w:val="00C026A2"/>
    <w:rsid w:val="00C3560C"/>
    <w:rsid w:val="00C5711F"/>
    <w:rsid w:val="00C73144"/>
    <w:rsid w:val="00C847D5"/>
    <w:rsid w:val="00C862E4"/>
    <w:rsid w:val="00CD5732"/>
    <w:rsid w:val="00CE108B"/>
    <w:rsid w:val="00D26AAD"/>
    <w:rsid w:val="00D43589"/>
    <w:rsid w:val="00D443E4"/>
    <w:rsid w:val="00D4712A"/>
    <w:rsid w:val="00D61C67"/>
    <w:rsid w:val="00D63780"/>
    <w:rsid w:val="00D648E6"/>
    <w:rsid w:val="00DB45EF"/>
    <w:rsid w:val="00DD6455"/>
    <w:rsid w:val="00DE06C6"/>
    <w:rsid w:val="00E05CB1"/>
    <w:rsid w:val="00E10BAE"/>
    <w:rsid w:val="00E3726A"/>
    <w:rsid w:val="00E37BA0"/>
    <w:rsid w:val="00E56B7B"/>
    <w:rsid w:val="00E60289"/>
    <w:rsid w:val="00E825B9"/>
    <w:rsid w:val="00ED04E1"/>
    <w:rsid w:val="00EE0A43"/>
    <w:rsid w:val="00EF03E2"/>
    <w:rsid w:val="00F075B9"/>
    <w:rsid w:val="00F65708"/>
    <w:rsid w:val="00F74196"/>
    <w:rsid w:val="00F851D7"/>
    <w:rsid w:val="00FA49F6"/>
    <w:rsid w:val="00FC763B"/>
    <w:rsid w:val="00FD3265"/>
    <w:rsid w:val="00FD7E00"/>
    <w:rsid w:val="00FE5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01"/>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D"/>
    <w:pPr>
      <w:tabs>
        <w:tab w:val="center" w:pos="4536"/>
        <w:tab w:val="right" w:pos="9072"/>
      </w:tabs>
    </w:pPr>
  </w:style>
  <w:style w:type="character" w:customStyle="1" w:styleId="HeaderChar">
    <w:name w:val="Header Char"/>
    <w:basedOn w:val="DefaultParagraphFont"/>
    <w:link w:val="Header"/>
    <w:uiPriority w:val="99"/>
    <w:rsid w:val="007743BD"/>
  </w:style>
  <w:style w:type="paragraph" w:styleId="Footer">
    <w:name w:val="footer"/>
    <w:basedOn w:val="Normal"/>
    <w:link w:val="FooterChar"/>
    <w:uiPriority w:val="99"/>
    <w:unhideWhenUsed/>
    <w:rsid w:val="007743BD"/>
    <w:pPr>
      <w:tabs>
        <w:tab w:val="center" w:pos="4536"/>
        <w:tab w:val="right" w:pos="9072"/>
      </w:tabs>
    </w:pPr>
  </w:style>
  <w:style w:type="character" w:customStyle="1" w:styleId="FooterChar">
    <w:name w:val="Footer Char"/>
    <w:basedOn w:val="DefaultParagraphFont"/>
    <w:link w:val="Footer"/>
    <w:uiPriority w:val="99"/>
    <w:rsid w:val="007743BD"/>
  </w:style>
  <w:style w:type="paragraph" w:styleId="BodyText">
    <w:name w:val="Body Text"/>
    <w:basedOn w:val="Normal"/>
    <w:link w:val="BodyTextChar"/>
    <w:semiHidden/>
    <w:unhideWhenUsed/>
    <w:rsid w:val="00192A47"/>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semiHidden/>
    <w:rsid w:val="00192A47"/>
    <w:rPr>
      <w:rFonts w:ascii="Arial" w:eastAsia="Times New Roman" w:hAnsi="Arial" w:cs="Arabic Transparent"/>
      <w:sz w:val="20"/>
      <w:szCs w:val="24"/>
      <w:lang w:val="en-GB"/>
    </w:rPr>
  </w:style>
  <w:style w:type="paragraph" w:styleId="ListParagraph">
    <w:name w:val="List Paragraph"/>
    <w:basedOn w:val="Normal"/>
    <w:uiPriority w:val="34"/>
    <w:qFormat/>
    <w:rsid w:val="00192A47"/>
    <w:pPr>
      <w:ind w:left="720"/>
    </w:pPr>
  </w:style>
  <w:style w:type="paragraph" w:customStyle="1" w:styleId="TextA">
    <w:name w:val="Text A"/>
    <w:rsid w:val="00192A47"/>
    <w:pPr>
      <w:spacing w:after="0"/>
    </w:pPr>
    <w:rPr>
      <w:rFonts w:ascii="Arial" w:eastAsia="Arial" w:hAnsi="Arial" w:cs="Arial"/>
      <w:color w:val="000000"/>
      <w:sz w:val="20"/>
      <w:szCs w:val="20"/>
      <w:u w:color="000000"/>
      <w:lang w:val="de-DE" w:eastAsia="de-DE"/>
    </w:rPr>
  </w:style>
  <w:style w:type="paragraph" w:styleId="BalloonText">
    <w:name w:val="Balloon Text"/>
    <w:basedOn w:val="Normal"/>
    <w:link w:val="BalloonTextChar"/>
    <w:uiPriority w:val="99"/>
    <w:semiHidden/>
    <w:unhideWhenUsed/>
    <w:rsid w:val="00192A47"/>
    <w:rPr>
      <w:rFonts w:ascii="Tahoma" w:hAnsi="Tahoma" w:cs="Tahoma"/>
      <w:sz w:val="16"/>
      <w:szCs w:val="16"/>
    </w:rPr>
  </w:style>
  <w:style w:type="character" w:customStyle="1" w:styleId="BalloonTextChar">
    <w:name w:val="Balloon Text Char"/>
    <w:basedOn w:val="DefaultParagraphFont"/>
    <w:link w:val="BalloonText"/>
    <w:uiPriority w:val="99"/>
    <w:semiHidden/>
    <w:rsid w:val="00192A47"/>
    <w:rPr>
      <w:rFonts w:ascii="Tahoma" w:hAnsi="Tahoma" w:cs="Tahoma"/>
      <w:sz w:val="16"/>
      <w:szCs w:val="16"/>
      <w:lang w:val="en-US"/>
    </w:rPr>
  </w:style>
  <w:style w:type="character" w:styleId="Hyperlink">
    <w:name w:val="Hyperlink"/>
    <w:basedOn w:val="DefaultParagraphFont"/>
    <w:unhideWhenUsed/>
    <w:rsid w:val="00A92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01"/>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BD"/>
    <w:pPr>
      <w:tabs>
        <w:tab w:val="center" w:pos="4536"/>
        <w:tab w:val="right" w:pos="9072"/>
      </w:tabs>
    </w:pPr>
  </w:style>
  <w:style w:type="character" w:customStyle="1" w:styleId="HeaderChar">
    <w:name w:val="Header Char"/>
    <w:basedOn w:val="DefaultParagraphFont"/>
    <w:link w:val="Header"/>
    <w:uiPriority w:val="99"/>
    <w:rsid w:val="007743BD"/>
  </w:style>
  <w:style w:type="paragraph" w:styleId="Footer">
    <w:name w:val="footer"/>
    <w:basedOn w:val="Normal"/>
    <w:link w:val="FooterChar"/>
    <w:uiPriority w:val="99"/>
    <w:unhideWhenUsed/>
    <w:rsid w:val="007743BD"/>
    <w:pPr>
      <w:tabs>
        <w:tab w:val="center" w:pos="4536"/>
        <w:tab w:val="right" w:pos="9072"/>
      </w:tabs>
    </w:pPr>
  </w:style>
  <w:style w:type="character" w:customStyle="1" w:styleId="FooterChar">
    <w:name w:val="Footer Char"/>
    <w:basedOn w:val="DefaultParagraphFont"/>
    <w:link w:val="Footer"/>
    <w:uiPriority w:val="99"/>
    <w:rsid w:val="007743BD"/>
  </w:style>
  <w:style w:type="paragraph" w:styleId="BodyText">
    <w:name w:val="Body Text"/>
    <w:basedOn w:val="Normal"/>
    <w:link w:val="BodyTextChar"/>
    <w:semiHidden/>
    <w:unhideWhenUsed/>
    <w:rsid w:val="00192A47"/>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semiHidden/>
    <w:rsid w:val="00192A47"/>
    <w:rPr>
      <w:rFonts w:ascii="Arial" w:eastAsia="Times New Roman" w:hAnsi="Arial" w:cs="Arabic Transparent"/>
      <w:sz w:val="20"/>
      <w:szCs w:val="24"/>
      <w:lang w:val="en-GB"/>
    </w:rPr>
  </w:style>
  <w:style w:type="paragraph" w:styleId="ListParagraph">
    <w:name w:val="List Paragraph"/>
    <w:basedOn w:val="Normal"/>
    <w:uiPriority w:val="34"/>
    <w:qFormat/>
    <w:rsid w:val="00192A47"/>
    <w:pPr>
      <w:ind w:left="720"/>
    </w:pPr>
  </w:style>
  <w:style w:type="paragraph" w:customStyle="1" w:styleId="TextA">
    <w:name w:val="Text A"/>
    <w:rsid w:val="00192A47"/>
    <w:pPr>
      <w:spacing w:after="0"/>
    </w:pPr>
    <w:rPr>
      <w:rFonts w:ascii="Arial" w:eastAsia="Arial" w:hAnsi="Arial" w:cs="Arial"/>
      <w:color w:val="000000"/>
      <w:sz w:val="20"/>
      <w:szCs w:val="20"/>
      <w:u w:color="000000"/>
      <w:lang w:val="de-DE" w:eastAsia="de-DE"/>
    </w:rPr>
  </w:style>
  <w:style w:type="paragraph" w:styleId="BalloonText">
    <w:name w:val="Balloon Text"/>
    <w:basedOn w:val="Normal"/>
    <w:link w:val="BalloonTextChar"/>
    <w:uiPriority w:val="99"/>
    <w:semiHidden/>
    <w:unhideWhenUsed/>
    <w:rsid w:val="00192A47"/>
    <w:rPr>
      <w:rFonts w:ascii="Tahoma" w:hAnsi="Tahoma" w:cs="Tahoma"/>
      <w:sz w:val="16"/>
      <w:szCs w:val="16"/>
    </w:rPr>
  </w:style>
  <w:style w:type="character" w:customStyle="1" w:styleId="BalloonTextChar">
    <w:name w:val="Balloon Text Char"/>
    <w:basedOn w:val="DefaultParagraphFont"/>
    <w:link w:val="BalloonText"/>
    <w:uiPriority w:val="99"/>
    <w:semiHidden/>
    <w:rsid w:val="00192A47"/>
    <w:rPr>
      <w:rFonts w:ascii="Tahoma" w:hAnsi="Tahoma" w:cs="Tahoma"/>
      <w:sz w:val="16"/>
      <w:szCs w:val="16"/>
      <w:lang w:val="en-US"/>
    </w:rPr>
  </w:style>
  <w:style w:type="character" w:styleId="Hyperlink">
    <w:name w:val="Hyperlink"/>
    <w:basedOn w:val="DefaultParagraphFont"/>
    <w:unhideWhenUsed/>
    <w:rsid w:val="00A92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038">
      <w:bodyDiv w:val="1"/>
      <w:marLeft w:val="0"/>
      <w:marRight w:val="0"/>
      <w:marTop w:val="0"/>
      <w:marBottom w:val="0"/>
      <w:divBdr>
        <w:top w:val="none" w:sz="0" w:space="0" w:color="auto"/>
        <w:left w:val="none" w:sz="0" w:space="0" w:color="auto"/>
        <w:bottom w:val="none" w:sz="0" w:space="0" w:color="auto"/>
        <w:right w:val="none" w:sz="0" w:space="0" w:color="auto"/>
      </w:divBdr>
    </w:div>
    <w:div w:id="266426863">
      <w:bodyDiv w:val="1"/>
      <w:marLeft w:val="0"/>
      <w:marRight w:val="0"/>
      <w:marTop w:val="0"/>
      <w:marBottom w:val="0"/>
      <w:divBdr>
        <w:top w:val="none" w:sz="0" w:space="0" w:color="auto"/>
        <w:left w:val="none" w:sz="0" w:space="0" w:color="auto"/>
        <w:bottom w:val="none" w:sz="0" w:space="0" w:color="auto"/>
        <w:right w:val="none" w:sz="0" w:space="0" w:color="auto"/>
      </w:divBdr>
    </w:div>
    <w:div w:id="275021220">
      <w:bodyDiv w:val="1"/>
      <w:marLeft w:val="0"/>
      <w:marRight w:val="0"/>
      <w:marTop w:val="0"/>
      <w:marBottom w:val="0"/>
      <w:divBdr>
        <w:top w:val="none" w:sz="0" w:space="0" w:color="auto"/>
        <w:left w:val="none" w:sz="0" w:space="0" w:color="auto"/>
        <w:bottom w:val="none" w:sz="0" w:space="0" w:color="auto"/>
        <w:right w:val="none" w:sz="0" w:space="0" w:color="auto"/>
      </w:divBdr>
    </w:div>
    <w:div w:id="378631585">
      <w:bodyDiv w:val="1"/>
      <w:marLeft w:val="0"/>
      <w:marRight w:val="0"/>
      <w:marTop w:val="0"/>
      <w:marBottom w:val="0"/>
      <w:divBdr>
        <w:top w:val="none" w:sz="0" w:space="0" w:color="auto"/>
        <w:left w:val="none" w:sz="0" w:space="0" w:color="auto"/>
        <w:bottom w:val="none" w:sz="0" w:space="0" w:color="auto"/>
        <w:right w:val="none" w:sz="0" w:space="0" w:color="auto"/>
      </w:divBdr>
    </w:div>
    <w:div w:id="499275366">
      <w:bodyDiv w:val="1"/>
      <w:marLeft w:val="0"/>
      <w:marRight w:val="0"/>
      <w:marTop w:val="0"/>
      <w:marBottom w:val="0"/>
      <w:divBdr>
        <w:top w:val="none" w:sz="0" w:space="0" w:color="auto"/>
        <w:left w:val="none" w:sz="0" w:space="0" w:color="auto"/>
        <w:bottom w:val="none" w:sz="0" w:space="0" w:color="auto"/>
        <w:right w:val="none" w:sz="0" w:space="0" w:color="auto"/>
      </w:divBdr>
    </w:div>
    <w:div w:id="735319566">
      <w:bodyDiv w:val="1"/>
      <w:marLeft w:val="0"/>
      <w:marRight w:val="0"/>
      <w:marTop w:val="0"/>
      <w:marBottom w:val="0"/>
      <w:divBdr>
        <w:top w:val="none" w:sz="0" w:space="0" w:color="auto"/>
        <w:left w:val="none" w:sz="0" w:space="0" w:color="auto"/>
        <w:bottom w:val="none" w:sz="0" w:space="0" w:color="auto"/>
        <w:right w:val="none" w:sz="0" w:space="0" w:color="auto"/>
      </w:divBdr>
    </w:div>
    <w:div w:id="744449832">
      <w:bodyDiv w:val="1"/>
      <w:marLeft w:val="0"/>
      <w:marRight w:val="0"/>
      <w:marTop w:val="0"/>
      <w:marBottom w:val="0"/>
      <w:divBdr>
        <w:top w:val="none" w:sz="0" w:space="0" w:color="auto"/>
        <w:left w:val="none" w:sz="0" w:space="0" w:color="auto"/>
        <w:bottom w:val="none" w:sz="0" w:space="0" w:color="auto"/>
        <w:right w:val="none" w:sz="0" w:space="0" w:color="auto"/>
      </w:divBdr>
    </w:div>
    <w:div w:id="1081374168">
      <w:bodyDiv w:val="1"/>
      <w:marLeft w:val="0"/>
      <w:marRight w:val="0"/>
      <w:marTop w:val="0"/>
      <w:marBottom w:val="0"/>
      <w:divBdr>
        <w:top w:val="none" w:sz="0" w:space="0" w:color="auto"/>
        <w:left w:val="none" w:sz="0" w:space="0" w:color="auto"/>
        <w:bottom w:val="none" w:sz="0" w:space="0" w:color="auto"/>
        <w:right w:val="none" w:sz="0" w:space="0" w:color="auto"/>
      </w:divBdr>
    </w:div>
    <w:div w:id="1150635331">
      <w:bodyDiv w:val="1"/>
      <w:marLeft w:val="0"/>
      <w:marRight w:val="0"/>
      <w:marTop w:val="0"/>
      <w:marBottom w:val="0"/>
      <w:divBdr>
        <w:top w:val="none" w:sz="0" w:space="0" w:color="auto"/>
        <w:left w:val="none" w:sz="0" w:space="0" w:color="auto"/>
        <w:bottom w:val="none" w:sz="0" w:space="0" w:color="auto"/>
        <w:right w:val="none" w:sz="0" w:space="0" w:color="auto"/>
      </w:divBdr>
    </w:div>
    <w:div w:id="1178616187">
      <w:bodyDiv w:val="1"/>
      <w:marLeft w:val="0"/>
      <w:marRight w:val="0"/>
      <w:marTop w:val="0"/>
      <w:marBottom w:val="0"/>
      <w:divBdr>
        <w:top w:val="none" w:sz="0" w:space="0" w:color="auto"/>
        <w:left w:val="none" w:sz="0" w:space="0" w:color="auto"/>
        <w:bottom w:val="none" w:sz="0" w:space="0" w:color="auto"/>
        <w:right w:val="none" w:sz="0" w:space="0" w:color="auto"/>
      </w:divBdr>
    </w:div>
    <w:div w:id="1201742769">
      <w:bodyDiv w:val="1"/>
      <w:marLeft w:val="0"/>
      <w:marRight w:val="0"/>
      <w:marTop w:val="0"/>
      <w:marBottom w:val="0"/>
      <w:divBdr>
        <w:top w:val="none" w:sz="0" w:space="0" w:color="auto"/>
        <w:left w:val="none" w:sz="0" w:space="0" w:color="auto"/>
        <w:bottom w:val="none" w:sz="0" w:space="0" w:color="auto"/>
        <w:right w:val="none" w:sz="0" w:space="0" w:color="auto"/>
      </w:divBdr>
    </w:div>
    <w:div w:id="1328485273">
      <w:bodyDiv w:val="1"/>
      <w:marLeft w:val="0"/>
      <w:marRight w:val="0"/>
      <w:marTop w:val="0"/>
      <w:marBottom w:val="0"/>
      <w:divBdr>
        <w:top w:val="none" w:sz="0" w:space="0" w:color="auto"/>
        <w:left w:val="none" w:sz="0" w:space="0" w:color="auto"/>
        <w:bottom w:val="none" w:sz="0" w:space="0" w:color="auto"/>
        <w:right w:val="none" w:sz="0" w:space="0" w:color="auto"/>
      </w:divBdr>
    </w:div>
    <w:div w:id="1353531371">
      <w:bodyDiv w:val="1"/>
      <w:marLeft w:val="0"/>
      <w:marRight w:val="0"/>
      <w:marTop w:val="0"/>
      <w:marBottom w:val="0"/>
      <w:divBdr>
        <w:top w:val="none" w:sz="0" w:space="0" w:color="auto"/>
        <w:left w:val="none" w:sz="0" w:space="0" w:color="auto"/>
        <w:bottom w:val="none" w:sz="0" w:space="0" w:color="auto"/>
        <w:right w:val="none" w:sz="0" w:space="0" w:color="auto"/>
      </w:divBdr>
    </w:div>
    <w:div w:id="1460491102">
      <w:bodyDiv w:val="1"/>
      <w:marLeft w:val="0"/>
      <w:marRight w:val="0"/>
      <w:marTop w:val="0"/>
      <w:marBottom w:val="0"/>
      <w:divBdr>
        <w:top w:val="none" w:sz="0" w:space="0" w:color="auto"/>
        <w:left w:val="none" w:sz="0" w:space="0" w:color="auto"/>
        <w:bottom w:val="none" w:sz="0" w:space="0" w:color="auto"/>
        <w:right w:val="none" w:sz="0" w:space="0" w:color="auto"/>
      </w:divBdr>
    </w:div>
    <w:div w:id="1503930096">
      <w:bodyDiv w:val="1"/>
      <w:marLeft w:val="0"/>
      <w:marRight w:val="0"/>
      <w:marTop w:val="0"/>
      <w:marBottom w:val="0"/>
      <w:divBdr>
        <w:top w:val="none" w:sz="0" w:space="0" w:color="auto"/>
        <w:left w:val="none" w:sz="0" w:space="0" w:color="auto"/>
        <w:bottom w:val="none" w:sz="0" w:space="0" w:color="auto"/>
        <w:right w:val="none" w:sz="0" w:space="0" w:color="auto"/>
      </w:divBdr>
    </w:div>
    <w:div w:id="1645505236">
      <w:bodyDiv w:val="1"/>
      <w:marLeft w:val="0"/>
      <w:marRight w:val="0"/>
      <w:marTop w:val="0"/>
      <w:marBottom w:val="0"/>
      <w:divBdr>
        <w:top w:val="none" w:sz="0" w:space="0" w:color="auto"/>
        <w:left w:val="none" w:sz="0" w:space="0" w:color="auto"/>
        <w:bottom w:val="none" w:sz="0" w:space="0" w:color="auto"/>
        <w:right w:val="none" w:sz="0" w:space="0" w:color="auto"/>
      </w:divBdr>
    </w:div>
    <w:div w:id="1938252097">
      <w:bodyDiv w:val="1"/>
      <w:marLeft w:val="0"/>
      <w:marRight w:val="0"/>
      <w:marTop w:val="0"/>
      <w:marBottom w:val="0"/>
      <w:divBdr>
        <w:top w:val="none" w:sz="0" w:space="0" w:color="auto"/>
        <w:left w:val="none" w:sz="0" w:space="0" w:color="auto"/>
        <w:bottom w:val="none" w:sz="0" w:space="0" w:color="auto"/>
        <w:right w:val="none" w:sz="0" w:space="0" w:color="auto"/>
      </w:divBdr>
    </w:div>
    <w:div w:id="19590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Svetlana Demicheva</cp:lastModifiedBy>
  <cp:revision>10</cp:revision>
  <dcterms:created xsi:type="dcterms:W3CDTF">2017-06-30T07:52:00Z</dcterms:created>
  <dcterms:modified xsi:type="dcterms:W3CDTF">2017-07-24T10:46:00Z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5402656.1</vt:lpwstr>
  </property>
  <property fmtid="{D5CDD505-2E9C-101B-9397-08002B2CF9AE}" pid="3" name="WS_TRACKING_ID">
    <vt:lpwstr>5a4754a5-6222-49f6-8583-295760fee26a</vt:lpwstr>
  </property>
</Properties>
</file>