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B4" w:rsidRPr="00037AF5" w:rsidRDefault="0029302D" w:rsidP="00CF3EF8">
      <w:pPr>
        <w:pStyle w:val="EYBoldsubjectheading"/>
        <w:spacing w:before="0" w:line="240" w:lineRule="auto"/>
      </w:pPr>
      <w:r w:rsidRPr="00037AF5">
        <w:tab/>
      </w:r>
      <w:r w:rsidRPr="00037AF5">
        <w:tab/>
      </w:r>
    </w:p>
    <w:tbl>
      <w:tblPr>
        <w:tblStyle w:val="TableGrid1"/>
        <w:tblW w:w="9742" w:type="dxa"/>
        <w:tblLook w:val="01E0" w:firstRow="1" w:lastRow="1" w:firstColumn="1" w:lastColumn="1" w:noHBand="0" w:noVBand="0"/>
      </w:tblPr>
      <w:tblGrid>
        <w:gridCol w:w="1843"/>
        <w:gridCol w:w="5179"/>
        <w:gridCol w:w="2249"/>
        <w:gridCol w:w="471"/>
      </w:tblGrid>
      <w:tr w:rsidR="00C025B4" w:rsidRPr="009C406C" w:rsidTr="00C1295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71" w:type="dxa"/>
          <w:trHeight w:hRule="exact" w:val="550"/>
        </w:trPr>
        <w:tc>
          <w:tcPr>
            <w:tcW w:w="9271" w:type="dxa"/>
            <w:gridSpan w:val="3"/>
            <w:tcMar>
              <w:left w:w="0" w:type="dxa"/>
              <w:right w:w="0" w:type="dxa"/>
            </w:tcMar>
          </w:tcPr>
          <w:p w:rsidR="00C025B4" w:rsidRPr="009C406C" w:rsidRDefault="00C025B4" w:rsidP="00C12957">
            <w:pPr>
              <w:spacing w:after="240"/>
              <w:rPr>
                <w:spacing w:val="-4"/>
                <w:sz w:val="36"/>
                <w:lang w:val="en-US" w:eastAsia="en-US"/>
              </w:rPr>
            </w:pPr>
            <w:r w:rsidRPr="009C406C">
              <w:rPr>
                <w:spacing w:val="-4"/>
                <w:sz w:val="36"/>
                <w:lang w:val="en-US" w:eastAsia="en-US"/>
              </w:rPr>
              <w:t>Пресс-релиз</w:t>
            </w:r>
          </w:p>
        </w:tc>
      </w:tr>
      <w:tr w:rsidR="00C025B4" w:rsidRPr="009C406C" w:rsidTr="00C12957">
        <w:trPr>
          <w:trHeight w:hRule="exact" w:val="369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C025B4" w:rsidRPr="009C406C" w:rsidRDefault="00C025B4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  <w:r w:rsidRPr="009C406C">
              <w:rPr>
                <w:rFonts w:cs="Arial"/>
                <w:sz w:val="22"/>
                <w:szCs w:val="22"/>
                <w:lang w:val="en-US" w:eastAsia="en-US"/>
              </w:rPr>
              <w:t>Контактное лицо:</w:t>
            </w:r>
          </w:p>
          <w:p w:rsidR="00C025B4" w:rsidRPr="009C406C" w:rsidRDefault="00C025B4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</w:p>
          <w:p w:rsidR="00C025B4" w:rsidRPr="009C406C" w:rsidRDefault="00C025B4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</w:p>
          <w:p w:rsidR="00C025B4" w:rsidRPr="009C406C" w:rsidRDefault="00C025B4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</w:p>
          <w:p w:rsidR="00C025B4" w:rsidRPr="009C406C" w:rsidRDefault="00C025B4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5179" w:type="dxa"/>
            <w:tcMar>
              <w:left w:w="0" w:type="dxa"/>
              <w:right w:w="0" w:type="dxa"/>
            </w:tcMar>
          </w:tcPr>
          <w:p w:rsidR="00C025B4" w:rsidRPr="009C406C" w:rsidRDefault="00C025B4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  <w:r w:rsidRPr="009C406C">
              <w:rPr>
                <w:rFonts w:cs="Arial"/>
                <w:sz w:val="22"/>
                <w:szCs w:val="22"/>
                <w:lang w:val="en-US" w:eastAsia="en-US"/>
              </w:rPr>
              <w:t>Глеб Костарев</w:t>
            </w:r>
          </w:p>
        </w:tc>
        <w:tc>
          <w:tcPr>
            <w:tcW w:w="2720" w:type="dxa"/>
            <w:gridSpan w:val="2"/>
            <w:tcMar>
              <w:left w:w="0" w:type="dxa"/>
              <w:right w:w="0" w:type="dxa"/>
            </w:tcMar>
          </w:tcPr>
          <w:p w:rsidR="00C025B4" w:rsidRPr="009C406C" w:rsidRDefault="004D112C" w:rsidP="00C12957">
            <w:pPr>
              <w:spacing w:line="260" w:lineRule="atLeast"/>
              <w:rPr>
                <w:rFonts w:cs="Arial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ru-RU" w:eastAsia="en-US"/>
              </w:rPr>
              <w:t>29</w:t>
            </w:r>
            <w:r w:rsidR="00C025B4" w:rsidRPr="009C406C">
              <w:rPr>
                <w:rFonts w:cs="Arial"/>
                <w:sz w:val="22"/>
                <w:szCs w:val="22"/>
                <w:lang w:val="en-US" w:eastAsia="en-US"/>
              </w:rPr>
              <w:t xml:space="preserve"> </w:t>
            </w:r>
            <w:r w:rsidR="00C025B4">
              <w:rPr>
                <w:rFonts w:cs="Arial"/>
                <w:sz w:val="22"/>
                <w:szCs w:val="22"/>
                <w:lang w:val="ru-RU" w:eastAsia="en-US"/>
              </w:rPr>
              <w:t>февраля</w:t>
            </w:r>
            <w:r w:rsidR="00C025B4" w:rsidRPr="009C406C">
              <w:rPr>
                <w:rFonts w:cs="Arial"/>
                <w:sz w:val="22"/>
                <w:szCs w:val="22"/>
                <w:lang w:val="en-US" w:eastAsia="en-US"/>
              </w:rPr>
              <w:t xml:space="preserve"> 2016 года</w:t>
            </w:r>
          </w:p>
        </w:tc>
      </w:tr>
      <w:tr w:rsidR="00C025B4" w:rsidRPr="009C406C" w:rsidTr="00C12957">
        <w:trPr>
          <w:trHeight w:hRule="exact" w:val="369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C025B4" w:rsidRPr="009C406C" w:rsidRDefault="00C025B4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  <w:r w:rsidRPr="009C406C">
              <w:rPr>
                <w:rFonts w:cs="Arial"/>
                <w:sz w:val="22"/>
                <w:szCs w:val="22"/>
                <w:lang w:val="en-US" w:eastAsia="en-US"/>
              </w:rPr>
              <w:t>Компания:</w:t>
            </w:r>
          </w:p>
        </w:tc>
        <w:tc>
          <w:tcPr>
            <w:tcW w:w="7899" w:type="dxa"/>
            <w:gridSpan w:val="3"/>
            <w:tcMar>
              <w:left w:w="0" w:type="dxa"/>
              <w:right w:w="0" w:type="dxa"/>
            </w:tcMar>
          </w:tcPr>
          <w:p w:rsidR="00C025B4" w:rsidRPr="009C406C" w:rsidRDefault="00C025B4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  <w:r w:rsidRPr="009C406C">
              <w:rPr>
                <w:rFonts w:cs="Arial"/>
                <w:sz w:val="22"/>
                <w:szCs w:val="22"/>
                <w:lang w:val="en-US" w:eastAsia="en-US"/>
              </w:rPr>
              <w:t>EY</w:t>
            </w:r>
          </w:p>
        </w:tc>
      </w:tr>
      <w:tr w:rsidR="00C025B4" w:rsidRPr="009C406C" w:rsidTr="00C12957">
        <w:trPr>
          <w:trHeight w:hRule="exact" w:val="369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C025B4" w:rsidRPr="009C406C" w:rsidRDefault="00C025B4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  <w:r w:rsidRPr="009C406C">
              <w:rPr>
                <w:rFonts w:cs="Arial"/>
                <w:sz w:val="22"/>
                <w:szCs w:val="22"/>
                <w:lang w:val="en-US" w:eastAsia="en-US"/>
              </w:rPr>
              <w:t>Teл:</w:t>
            </w:r>
          </w:p>
        </w:tc>
        <w:tc>
          <w:tcPr>
            <w:tcW w:w="7899" w:type="dxa"/>
            <w:gridSpan w:val="3"/>
            <w:tcMar>
              <w:left w:w="0" w:type="dxa"/>
              <w:right w:w="0" w:type="dxa"/>
            </w:tcMar>
          </w:tcPr>
          <w:p w:rsidR="00C025B4" w:rsidRPr="009C406C" w:rsidRDefault="00C025B4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  <w:r w:rsidRPr="009C406C">
              <w:rPr>
                <w:rFonts w:cs="Arial"/>
                <w:sz w:val="22"/>
                <w:szCs w:val="22"/>
                <w:lang w:val="en-US" w:eastAsia="en-US"/>
              </w:rPr>
              <w:t>+ 7 (495) 755 97 00</w:t>
            </w:r>
          </w:p>
        </w:tc>
      </w:tr>
      <w:tr w:rsidR="00C025B4" w:rsidRPr="009C406C" w:rsidTr="00C129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C025B4" w:rsidRPr="009C406C" w:rsidRDefault="00C025B4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  <w:r w:rsidRPr="009C406C">
              <w:rPr>
                <w:rFonts w:cs="Arial"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7899" w:type="dxa"/>
            <w:gridSpan w:val="3"/>
            <w:tcMar>
              <w:left w:w="0" w:type="dxa"/>
              <w:right w:w="0" w:type="dxa"/>
            </w:tcMar>
          </w:tcPr>
          <w:p w:rsidR="00C025B4" w:rsidRPr="009C406C" w:rsidRDefault="00CB6FE0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  <w:hyperlink r:id="rId13" w:history="1">
              <w:r w:rsidR="00C025B4" w:rsidRPr="009C406C">
                <w:rPr>
                  <w:rFonts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>Gleb.Kostarev@ru.ey.com</w:t>
              </w:r>
            </w:hyperlink>
            <w:r w:rsidR="00C025B4" w:rsidRPr="009C406C">
              <w:rPr>
                <w:rFonts w:cs="Arial"/>
                <w:sz w:val="22"/>
                <w:szCs w:val="22"/>
                <w:lang w:val="en-US" w:eastAsia="en-US"/>
              </w:rPr>
              <w:t xml:space="preserve"> </w:t>
            </w:r>
          </w:p>
          <w:p w:rsidR="00C025B4" w:rsidRPr="009C406C" w:rsidRDefault="00C025B4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</w:p>
          <w:p w:rsidR="00C025B4" w:rsidRPr="009C406C" w:rsidRDefault="00C025B4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</w:p>
          <w:p w:rsidR="00C025B4" w:rsidRPr="009C406C" w:rsidRDefault="00C025B4" w:rsidP="00C12957">
            <w:pPr>
              <w:spacing w:line="260" w:lineRule="atLeas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</w:tbl>
    <w:p w:rsidR="00322B29" w:rsidRPr="00037AF5" w:rsidRDefault="00322B29" w:rsidP="00322B29">
      <w:pPr>
        <w:pStyle w:val="EYBodytextwithparaspace"/>
        <w:spacing w:after="0" w:line="240" w:lineRule="auto"/>
        <w:contextualSpacing/>
        <w:rPr>
          <w:rFonts w:cs="Arial"/>
          <w:szCs w:val="22"/>
        </w:rPr>
      </w:pPr>
    </w:p>
    <w:p w:rsidR="00322B29" w:rsidRPr="00037AF5" w:rsidRDefault="00E630B8" w:rsidP="00322B29">
      <w:pPr>
        <w:pStyle w:val="EYBoldsubjectheading"/>
        <w:spacing w:before="0" w:after="240" w:line="360" w:lineRule="auto"/>
        <w:rPr>
          <w:sz w:val="28"/>
          <w:szCs w:val="28"/>
        </w:rPr>
      </w:pPr>
      <w:bookmarkStart w:id="0" w:name="_GoBack"/>
      <w:r>
        <w:rPr>
          <w:sz w:val="28"/>
        </w:rPr>
        <w:t xml:space="preserve">Рост активности в сфере </w:t>
      </w:r>
      <w:r>
        <w:rPr>
          <w:sz w:val="28"/>
          <w:lang w:val="en-US"/>
        </w:rPr>
        <w:t>M</w:t>
      </w:r>
      <w:r w:rsidRPr="00292F21">
        <w:rPr>
          <w:sz w:val="28"/>
        </w:rPr>
        <w:t>&amp;</w:t>
      </w:r>
      <w:r>
        <w:rPr>
          <w:sz w:val="28"/>
          <w:lang w:val="en-US"/>
        </w:rPr>
        <w:t>A</w:t>
      </w:r>
      <w:r>
        <w:rPr>
          <w:sz w:val="28"/>
        </w:rPr>
        <w:t xml:space="preserve"> в биофармацевтической отрасли в </w:t>
      </w:r>
      <w:r w:rsidR="00D24C2E" w:rsidRPr="00037AF5">
        <w:rPr>
          <w:sz w:val="28"/>
        </w:rPr>
        <w:t>2015 году</w:t>
      </w:r>
      <w:r w:rsidR="00331A88" w:rsidRPr="00037AF5">
        <w:rPr>
          <w:sz w:val="28"/>
        </w:rPr>
        <w:t xml:space="preserve">: можем </w:t>
      </w:r>
      <w:r w:rsidR="00D24C2E" w:rsidRPr="00037AF5">
        <w:rPr>
          <w:sz w:val="28"/>
        </w:rPr>
        <w:t>ли мы говорить о новой реальности?</w:t>
      </w:r>
    </w:p>
    <w:bookmarkEnd w:id="0"/>
    <w:p w:rsidR="0011014D" w:rsidRPr="00037AF5" w:rsidRDefault="00E630B8" w:rsidP="00D24C2E">
      <w:pPr>
        <w:pStyle w:val="EYBodytextwithparaspace"/>
        <w:numPr>
          <w:ilvl w:val="0"/>
          <w:numId w:val="3"/>
        </w:numPr>
        <w:spacing w:after="240"/>
        <w:rPr>
          <w:rFonts w:cs="Arial"/>
          <w:i/>
          <w:szCs w:val="22"/>
        </w:rPr>
      </w:pPr>
      <w:r>
        <w:rPr>
          <w:b/>
        </w:rPr>
        <w:t xml:space="preserve">Рекордные показатели совокупной стоимости сделок </w:t>
      </w:r>
      <w:r w:rsidR="008F08DA">
        <w:rPr>
          <w:b/>
        </w:rPr>
        <w:t xml:space="preserve">на уровне выше </w:t>
      </w:r>
      <w:r w:rsidR="00882455" w:rsidRPr="00037AF5">
        <w:rPr>
          <w:b/>
        </w:rPr>
        <w:t xml:space="preserve">300 </w:t>
      </w:r>
      <w:proofErr w:type="gramStart"/>
      <w:r w:rsidR="00882455" w:rsidRPr="00037AF5">
        <w:rPr>
          <w:b/>
        </w:rPr>
        <w:t>млрд</w:t>
      </w:r>
      <w:proofErr w:type="gramEnd"/>
      <w:r w:rsidR="00882455" w:rsidRPr="00037AF5">
        <w:rPr>
          <w:b/>
        </w:rPr>
        <w:t xml:space="preserve"> долларов США: говорят о трансформации отрасли</w:t>
      </w:r>
      <w:r w:rsidR="008F08DA">
        <w:rPr>
          <w:b/>
        </w:rPr>
        <w:t>.</w:t>
      </w:r>
    </w:p>
    <w:p w:rsidR="00202657" w:rsidRPr="00037AF5" w:rsidRDefault="00202657" w:rsidP="0011014D">
      <w:pPr>
        <w:pStyle w:val="EYBodytextwithparaspace"/>
        <w:numPr>
          <w:ilvl w:val="0"/>
          <w:numId w:val="3"/>
        </w:numPr>
        <w:spacing w:after="240"/>
        <w:rPr>
          <w:rFonts w:cs="Arial"/>
          <w:i/>
          <w:szCs w:val="22"/>
        </w:rPr>
      </w:pPr>
      <w:r w:rsidRPr="00037AF5">
        <w:rPr>
          <w:b/>
        </w:rPr>
        <w:t>В 2016 году динамика в отрасли будет зависеть от прогнозируемых темпов роста, консолидации покупателей и предполагаемых затрат на здравоохранение</w:t>
      </w:r>
      <w:r w:rsidR="008F08DA">
        <w:rPr>
          <w:b/>
        </w:rPr>
        <w:t>.</w:t>
      </w:r>
    </w:p>
    <w:p w:rsidR="00CF3EF8" w:rsidRPr="00037AF5" w:rsidRDefault="00CF3EF8" w:rsidP="009438E4">
      <w:pPr>
        <w:pStyle w:val="EYBodytextwithparaspace"/>
        <w:numPr>
          <w:ilvl w:val="0"/>
          <w:numId w:val="3"/>
        </w:numPr>
        <w:spacing w:after="240"/>
        <w:rPr>
          <w:rFonts w:cs="Arial"/>
          <w:i/>
          <w:szCs w:val="22"/>
        </w:rPr>
      </w:pPr>
      <w:r w:rsidRPr="00037AF5">
        <w:rPr>
          <w:b/>
        </w:rPr>
        <w:t>Биотехнологические предприятия заключают все больше сделок M&amp;A, а их экономический потенциал достигает новых максимальных показателей</w:t>
      </w:r>
      <w:r w:rsidR="008F08DA">
        <w:rPr>
          <w:b/>
        </w:rPr>
        <w:t>.</w:t>
      </w:r>
    </w:p>
    <w:p w:rsidR="00D24C2E" w:rsidRPr="00037AF5" w:rsidRDefault="00D24C2E" w:rsidP="00D24C2E">
      <w:pPr>
        <w:pStyle w:val="EYBodytextwithparaspace"/>
        <w:numPr>
          <w:ilvl w:val="0"/>
          <w:numId w:val="3"/>
        </w:numPr>
        <w:spacing w:after="240"/>
        <w:rPr>
          <w:rFonts w:cs="Arial"/>
          <w:i/>
          <w:szCs w:val="22"/>
        </w:rPr>
      </w:pPr>
      <w:r w:rsidRPr="00037AF5">
        <w:rPr>
          <w:b/>
        </w:rPr>
        <w:t xml:space="preserve">У специализированных фармацевтических предприятий </w:t>
      </w:r>
      <w:r w:rsidR="008F08DA">
        <w:rPr>
          <w:b/>
        </w:rPr>
        <w:t>истощились</w:t>
      </w:r>
      <w:r w:rsidR="008F08DA" w:rsidRPr="00037AF5">
        <w:rPr>
          <w:b/>
        </w:rPr>
        <w:t xml:space="preserve"> </w:t>
      </w:r>
      <w:r w:rsidRPr="00037AF5">
        <w:rPr>
          <w:b/>
        </w:rPr>
        <w:t>возможности заключ</w:t>
      </w:r>
      <w:r w:rsidR="008F08DA">
        <w:rPr>
          <w:b/>
        </w:rPr>
        <w:t>ения</w:t>
      </w:r>
      <w:r w:rsidRPr="00037AF5">
        <w:rPr>
          <w:b/>
        </w:rPr>
        <w:t xml:space="preserve"> крупны</w:t>
      </w:r>
      <w:r w:rsidR="008F08DA">
        <w:rPr>
          <w:b/>
        </w:rPr>
        <w:t>х</w:t>
      </w:r>
      <w:r w:rsidRPr="00037AF5">
        <w:rPr>
          <w:b/>
        </w:rPr>
        <w:t xml:space="preserve"> сдел</w:t>
      </w:r>
      <w:r w:rsidR="008F08DA">
        <w:rPr>
          <w:b/>
        </w:rPr>
        <w:t>ок</w:t>
      </w:r>
      <w:r w:rsidRPr="00037AF5">
        <w:rPr>
          <w:b/>
        </w:rPr>
        <w:t xml:space="preserve"> приобретения   </w:t>
      </w:r>
    </w:p>
    <w:p w:rsidR="00D24C2E" w:rsidRPr="00037AF5" w:rsidRDefault="00D24C2E" w:rsidP="00322B29">
      <w:pPr>
        <w:pStyle w:val="EYBodytextwithparaspace"/>
        <w:spacing w:after="240"/>
        <w:rPr>
          <w:rFonts w:cs="Arial"/>
          <w:szCs w:val="22"/>
        </w:rPr>
      </w:pPr>
      <w:r w:rsidRPr="00037AF5">
        <w:rPr>
          <w:i/>
        </w:rPr>
        <w:t>С</w:t>
      </w:r>
      <w:r w:rsidR="006B05F1">
        <w:rPr>
          <w:i/>
        </w:rPr>
        <w:t xml:space="preserve">АН-ФРАНЦИСКО, МОСКВА, </w:t>
      </w:r>
      <w:r w:rsidR="004D112C">
        <w:rPr>
          <w:i/>
        </w:rPr>
        <w:t>29</w:t>
      </w:r>
      <w:r w:rsidR="006B05F1">
        <w:rPr>
          <w:i/>
        </w:rPr>
        <w:t xml:space="preserve"> ФЕВРАЛЯ 2016 ГОДА</w:t>
      </w:r>
      <w:r w:rsidR="00F21D17" w:rsidRPr="00037AF5">
        <w:rPr>
          <w:i/>
        </w:rPr>
        <w:t>.</w:t>
      </w:r>
      <w:r w:rsidRPr="00037AF5">
        <w:t xml:space="preserve"> В 2015 году в биофармацевтической отрасли наблюдался резкий рост сделок слияний и поглощений (M&amp;A), при этом совокупная стоимость сделок, объявленных в 2015 году, составила свыше 300 </w:t>
      </w:r>
      <w:proofErr w:type="gramStart"/>
      <w:r w:rsidRPr="00037AF5">
        <w:t>млрд</w:t>
      </w:r>
      <w:proofErr w:type="gramEnd"/>
      <w:r w:rsidRPr="00037AF5">
        <w:t xml:space="preserve"> долларов США, что является рекордным показателем. Таковы данные исследования компании EY «Отчет об индексе экономического потенциала и разрыве в росте доходов» </w:t>
      </w:r>
      <w:r w:rsidRPr="00035B75">
        <w:rPr>
          <w:i/>
        </w:rPr>
        <w:t>(Firepower Index and Growth Gap Report 2016)</w:t>
      </w:r>
      <w:r w:rsidRPr="00037AF5">
        <w:t>. В большинстве случаев данная активность была обусловлена тем, что компании стремились к усилению концентрации бизнеса и ликвидации существующего разрыва в росте доходов.</w:t>
      </w:r>
      <w:r w:rsidRPr="00037AF5">
        <w:rPr>
          <w:rStyle w:val="FootnoteReference"/>
        </w:rPr>
        <w:footnoteReference w:id="1"/>
      </w:r>
      <w:r w:rsidRPr="00037AF5">
        <w:t xml:space="preserve"> Предыдущие рекордные показатели роста сделок M&amp;A в отрасли были достигнуты в 2014 году, когда совокупная стоимость сделок </w:t>
      </w:r>
      <w:r w:rsidR="005626FE">
        <w:t>превысила</w:t>
      </w:r>
      <w:r w:rsidR="005626FE" w:rsidRPr="00037AF5">
        <w:t xml:space="preserve"> </w:t>
      </w:r>
      <w:r w:rsidRPr="00037AF5">
        <w:t xml:space="preserve">200 </w:t>
      </w:r>
      <w:proofErr w:type="gramStart"/>
      <w:r w:rsidRPr="00037AF5">
        <w:t>млрд</w:t>
      </w:r>
      <w:proofErr w:type="gramEnd"/>
      <w:r w:rsidRPr="00037AF5">
        <w:t xml:space="preserve"> долларов США.  </w:t>
      </w:r>
    </w:p>
    <w:p w:rsidR="00D24C2E" w:rsidRPr="0003678A" w:rsidRDefault="00D24C2E" w:rsidP="00322B29">
      <w:pPr>
        <w:pStyle w:val="EYBodytextwithparaspace"/>
        <w:spacing w:after="240"/>
        <w:rPr>
          <w:rFonts w:cs="Arial"/>
          <w:szCs w:val="22"/>
        </w:rPr>
      </w:pPr>
      <w:r w:rsidRPr="00037AF5">
        <w:lastRenderedPageBreak/>
        <w:t xml:space="preserve">В 2016 году разрыв в росте доходов может усугубиться из-за формирования стоимости с учетом ценности продукции, жесткой конкуренции среди производителей ключевых лекарственных препаратов и консолидации покупателей, в результате чего ситуация на рынках будет еще долго далека </w:t>
      </w:r>
      <w:proofErr w:type="gramStart"/>
      <w:r w:rsidRPr="00037AF5">
        <w:t>от</w:t>
      </w:r>
      <w:proofErr w:type="gramEnd"/>
      <w:r w:rsidRPr="00037AF5">
        <w:t xml:space="preserve"> стабильной. </w:t>
      </w:r>
    </w:p>
    <w:p w:rsidR="003130D3" w:rsidRPr="00037AF5" w:rsidRDefault="00D24C2E" w:rsidP="00D24C2E">
      <w:pPr>
        <w:pStyle w:val="EYBodytextwithparaspace"/>
        <w:spacing w:after="240"/>
        <w:rPr>
          <w:rFonts w:cs="Arial"/>
          <w:szCs w:val="22"/>
        </w:rPr>
      </w:pPr>
      <w:r w:rsidRPr="00037AF5">
        <w:t xml:space="preserve">Индекс экономического потенциала EY определяет способности биофармацевтических компаний финансировать сделки M&amp;A </w:t>
      </w:r>
      <w:r w:rsidR="0003678A">
        <w:t>на основе</w:t>
      </w:r>
      <w:r w:rsidR="0003678A" w:rsidRPr="00037AF5">
        <w:t xml:space="preserve"> </w:t>
      </w:r>
      <w:r w:rsidRPr="00037AF5">
        <w:t xml:space="preserve">показателей баланса и рыночной капитализации. Соответственно, индекс экономического потенциала компании повышается при росте рыночной капитализации или увеличении </w:t>
      </w:r>
      <w:r w:rsidR="002F5E2A" w:rsidRPr="00037AF5">
        <w:t xml:space="preserve">денежных </w:t>
      </w:r>
      <w:r w:rsidRPr="00037AF5">
        <w:t>средств и их эквивалентов, либо при уменьшении задолженности компании.</w:t>
      </w:r>
    </w:p>
    <w:p w:rsidR="00D24C2E" w:rsidRPr="00037AF5" w:rsidRDefault="00035B75" w:rsidP="00D24C2E">
      <w:pPr>
        <w:pStyle w:val="EYBodytextwithparaspace"/>
        <w:spacing w:after="240"/>
        <w:rPr>
          <w:rFonts w:cs="Arial"/>
          <w:szCs w:val="22"/>
        </w:rPr>
      </w:pPr>
      <w:r w:rsidRPr="00035B75">
        <w:t>Глен Джованетти, руководитель глобальной практики EY по оказанию услуг компаниям медико-биологической отрасли,</w:t>
      </w:r>
      <w:r w:rsidRPr="00035B75" w:rsidDel="00035B75">
        <w:t xml:space="preserve"> </w:t>
      </w:r>
      <w:r w:rsidR="00D24C2E" w:rsidRPr="00037AF5">
        <w:t>говорит:</w:t>
      </w:r>
    </w:p>
    <w:p w:rsidR="00D24C2E" w:rsidRPr="00037AF5" w:rsidRDefault="00035B75" w:rsidP="00D24C2E">
      <w:pPr>
        <w:pStyle w:val="EYBodytextwithparaspace"/>
        <w:spacing w:after="240"/>
        <w:rPr>
          <w:rFonts w:cs="Arial"/>
          <w:szCs w:val="22"/>
        </w:rPr>
      </w:pPr>
      <w:r>
        <w:t>«</w:t>
      </w:r>
      <w:r w:rsidR="00D24C2E" w:rsidRPr="00037AF5">
        <w:t xml:space="preserve">Мы не знаем, будут ли заключаться в 2016 году крупные трансформационные сделки стоимостью свыше 100 </w:t>
      </w:r>
      <w:proofErr w:type="gramStart"/>
      <w:r w:rsidR="00D24C2E" w:rsidRPr="00037AF5">
        <w:t>млрд</w:t>
      </w:r>
      <w:proofErr w:type="gramEnd"/>
      <w:r w:rsidR="00D24C2E" w:rsidRPr="00037AF5">
        <w:t xml:space="preserve"> долларов США, но мы уверены в большом количестве сделок приобретения и продажи активов, поскольку компании стремятся к усилению концентрации бизнеса и расширению масштабов деятельности в разрезе </w:t>
      </w:r>
      <w:r w:rsidR="004435F3">
        <w:t xml:space="preserve">выбранных </w:t>
      </w:r>
      <w:r w:rsidR="00D24C2E" w:rsidRPr="00037AF5">
        <w:t>разделов терапии. По сравнению с прошлым годом число компаний с индексом экономического потенциала равным по меньшей мере 3 </w:t>
      </w:r>
      <w:proofErr w:type="gramStart"/>
      <w:r w:rsidR="00D24C2E" w:rsidRPr="00037AF5">
        <w:t>млрд</w:t>
      </w:r>
      <w:proofErr w:type="gramEnd"/>
      <w:r w:rsidR="00D24C2E" w:rsidRPr="00037AF5">
        <w:t xml:space="preserve"> долларов США утроилось, что означает ужесточение конкуренции, а также рост числа потенциальных покупателей активов. Крупные фармацевтические компании, например, могут использовать свое преимущество и продолжат</w:t>
      </w:r>
      <w:r w:rsidR="00C77940" w:rsidRPr="00037AF5">
        <w:t>ь</w:t>
      </w:r>
      <w:r w:rsidR="00D24C2E" w:rsidRPr="00037AF5">
        <w:t xml:space="preserve"> активную и стратегически выверенную деятельность в области заключения сделок для наращивания портфеля и ликвидации недостатков в производственном процессе</w:t>
      </w:r>
      <w:r>
        <w:t>»</w:t>
      </w:r>
      <w:r w:rsidR="00D24C2E" w:rsidRPr="00037AF5">
        <w:t>.</w:t>
      </w:r>
    </w:p>
    <w:p w:rsidR="00D24C2E" w:rsidRPr="00037AF5" w:rsidRDefault="00D24C2E" w:rsidP="00D24C2E">
      <w:pPr>
        <w:pStyle w:val="EYBodytextwithparaspace"/>
        <w:spacing w:after="240"/>
        <w:rPr>
          <w:rFonts w:cs="Arial"/>
          <w:szCs w:val="22"/>
        </w:rPr>
      </w:pPr>
      <w:r w:rsidRPr="00037AF5">
        <w:t xml:space="preserve">Несмотря на то, что крупные фармацевтические компании начинают осознавать зависимость роста от успешных научно-исследовательских разработок в таких областях, как онкология и инфекционные заболевания, многие крупнейшие игроки будут и впредь заключать сделки M&amp;A для достижения целевых показателей роста, уделяя первоочередное внимание приобретению и реализации активов. </w:t>
      </w:r>
    </w:p>
    <w:p w:rsidR="00D24C2E" w:rsidRPr="00037AF5" w:rsidRDefault="00D24C2E" w:rsidP="00D24C2E">
      <w:pPr>
        <w:pStyle w:val="EYBodytextwithparaspace"/>
        <w:spacing w:after="240"/>
        <w:rPr>
          <w:rFonts w:cs="Arial"/>
          <w:szCs w:val="22"/>
        </w:rPr>
      </w:pPr>
      <w:r w:rsidRPr="00037AF5">
        <w:t>Другие ключевые выводы нового исследования включают:</w:t>
      </w:r>
    </w:p>
    <w:p w:rsidR="00057116" w:rsidRPr="00037AF5" w:rsidRDefault="00DC0F3B" w:rsidP="00581DF5">
      <w:pPr>
        <w:pStyle w:val="EYBodytextwithparaspace"/>
        <w:numPr>
          <w:ilvl w:val="0"/>
          <w:numId w:val="4"/>
        </w:numPr>
        <w:spacing w:after="240"/>
        <w:rPr>
          <w:rFonts w:cs="Arial"/>
          <w:szCs w:val="22"/>
        </w:rPr>
      </w:pPr>
      <w:r w:rsidRPr="00037AF5">
        <w:rPr>
          <w:b/>
        </w:rPr>
        <w:t>Сделки M&amp;A: специализированные фармацевтические предприятия находятся на первом месте по объему сделок, за ними следуют крупные фар</w:t>
      </w:r>
      <w:r w:rsidR="00CF3354" w:rsidRPr="00037AF5">
        <w:rPr>
          <w:b/>
        </w:rPr>
        <w:t>м</w:t>
      </w:r>
      <w:r w:rsidRPr="00037AF5">
        <w:rPr>
          <w:b/>
        </w:rPr>
        <w:t>компании, при это</w:t>
      </w:r>
      <w:r w:rsidR="00CF3354" w:rsidRPr="00037AF5">
        <w:rPr>
          <w:b/>
        </w:rPr>
        <w:t>м</w:t>
      </w:r>
      <w:r w:rsidRPr="00037AF5">
        <w:rPr>
          <w:b/>
        </w:rPr>
        <w:t xml:space="preserve"> наблюдается рост сделок со стороны </w:t>
      </w:r>
      <w:r w:rsidRPr="00037AF5">
        <w:rPr>
          <w:b/>
        </w:rPr>
        <w:lastRenderedPageBreak/>
        <w:t>биотехнологических предприятий:</w:t>
      </w:r>
      <w:r w:rsidRPr="00037AF5">
        <w:t xml:space="preserve"> в начале 2015 года активность на рынке была обусловлена </w:t>
      </w:r>
      <w:r w:rsidR="00580AE6" w:rsidRPr="00037AF5">
        <w:t xml:space="preserve">деятельностью </w:t>
      </w:r>
      <w:r w:rsidRPr="00037AF5">
        <w:t>специализированных фармацевтических предприятий</w:t>
      </w:r>
      <w:r w:rsidR="00580AE6" w:rsidRPr="00037AF5">
        <w:t>. П</w:t>
      </w:r>
      <w:r w:rsidRPr="00037AF5">
        <w:t xml:space="preserve">о общей оценке на их долю пришлось большинство сделок в секторе производства специализированных продуктов или непатентованных лекарственных средств. Однако позднее в этом же году наблюдался рост сделок со стороны крупных фармкомпаний, в то время как со стороны биотехнологических предприятий рост был незначителен, но задачи на 2016 год выглядели достаточно </w:t>
      </w:r>
      <w:proofErr w:type="gramStart"/>
      <w:r w:rsidRPr="00037AF5">
        <w:t>амбициозно</w:t>
      </w:r>
      <w:proofErr w:type="gramEnd"/>
      <w:r w:rsidRPr="00037AF5">
        <w:t>.</w:t>
      </w:r>
    </w:p>
    <w:p w:rsidR="00832B23" w:rsidRPr="00037AF5" w:rsidRDefault="00882455" w:rsidP="00832B23">
      <w:pPr>
        <w:pStyle w:val="EYBodytextwithparaspace"/>
        <w:numPr>
          <w:ilvl w:val="0"/>
          <w:numId w:val="4"/>
        </w:numPr>
        <w:spacing w:after="240"/>
        <w:rPr>
          <w:rFonts w:cs="Arial"/>
          <w:szCs w:val="22"/>
        </w:rPr>
      </w:pPr>
      <w:r w:rsidRPr="00037AF5">
        <w:rPr>
          <w:b/>
        </w:rPr>
        <w:t>Сохранение разрыва в росте:</w:t>
      </w:r>
      <w:r w:rsidRPr="00037AF5">
        <w:t xml:space="preserve"> крупные фармкомпании наращивают разрыв в росте, демонстрируя снижение выручки по сравнению с глобальным показателем роста объемов продаж в биофармацевтической отрасли. Данный показатель все еще сохраняется на уровне 100 </w:t>
      </w:r>
      <w:proofErr w:type="gramStart"/>
      <w:r w:rsidRPr="00037AF5">
        <w:t>млрд</w:t>
      </w:r>
      <w:proofErr w:type="gramEnd"/>
      <w:r w:rsidRPr="00037AF5">
        <w:t xml:space="preserve"> долларов США, что частично обусловлено резкими колебаниями валют. В 2016 году была только одна сделка, которая окажет существенное влияние на разрыв в росте выручки </w:t>
      </w:r>
      <w:proofErr w:type="gramStart"/>
      <w:r w:rsidRPr="00037AF5">
        <w:t>крупных</w:t>
      </w:r>
      <w:proofErr w:type="gramEnd"/>
      <w:r w:rsidRPr="00037AF5">
        <w:t xml:space="preserve"> фармкомпаний. </w:t>
      </w:r>
    </w:p>
    <w:p w:rsidR="00057116" w:rsidRPr="00037AF5" w:rsidRDefault="00057116" w:rsidP="00057116">
      <w:pPr>
        <w:pStyle w:val="EYBodytextwithparaspace"/>
        <w:numPr>
          <w:ilvl w:val="0"/>
          <w:numId w:val="4"/>
        </w:numPr>
        <w:spacing w:after="240"/>
        <w:rPr>
          <w:rFonts w:cs="Arial"/>
          <w:szCs w:val="22"/>
        </w:rPr>
      </w:pPr>
      <w:r w:rsidRPr="00037AF5">
        <w:rPr>
          <w:b/>
        </w:rPr>
        <w:t>Индексы потенциала специализированных фармкомпаний снижаются, а индексы потенциала биотехнологических предприятий демонстрируют новые максимальные значения:</w:t>
      </w:r>
      <w:r w:rsidRPr="00037AF5">
        <w:t xml:space="preserve"> после ряда сделок приобретения за счет заимствований и снижения стоимости акционерного капитала индексы потенциала специализированных фармкомпаний рухнули практически на 50%. Одновременно с этим индексы потенциала крупных биотехнологических предприятий продемонстрировали новые максимальные значения, достигнув 300 </w:t>
      </w:r>
      <w:proofErr w:type="gramStart"/>
      <w:r w:rsidRPr="00037AF5">
        <w:t>млрд</w:t>
      </w:r>
      <w:proofErr w:type="gramEnd"/>
      <w:r w:rsidRPr="00037AF5">
        <w:t xml:space="preserve"> долларов США.  </w:t>
      </w:r>
    </w:p>
    <w:p w:rsidR="00A67B89" w:rsidRPr="00037AF5" w:rsidRDefault="00A67B89" w:rsidP="009438E4">
      <w:pPr>
        <w:spacing w:after="200" w:line="276" w:lineRule="auto"/>
        <w:rPr>
          <w:rFonts w:cs="Arial"/>
          <w:b/>
          <w:sz w:val="22"/>
          <w:szCs w:val="22"/>
        </w:rPr>
      </w:pPr>
    </w:p>
    <w:p w:rsidR="00057116" w:rsidRPr="00037AF5" w:rsidRDefault="00057116" w:rsidP="009438E4">
      <w:pPr>
        <w:spacing w:after="200" w:line="276" w:lineRule="auto"/>
        <w:rPr>
          <w:rFonts w:cs="Arial"/>
          <w:b/>
          <w:sz w:val="22"/>
          <w:szCs w:val="22"/>
        </w:rPr>
      </w:pPr>
      <w:r w:rsidRPr="00037AF5">
        <w:rPr>
          <w:b/>
          <w:sz w:val="22"/>
        </w:rPr>
        <w:t>Последствия для 2016 года</w:t>
      </w:r>
    </w:p>
    <w:p w:rsidR="00322B29" w:rsidRPr="00037AF5" w:rsidRDefault="001600E6" w:rsidP="00D24C2E">
      <w:pPr>
        <w:pStyle w:val="EYBodytextwithparaspace"/>
        <w:spacing w:after="240"/>
        <w:rPr>
          <w:rFonts w:cs="Arial"/>
          <w:szCs w:val="22"/>
        </w:rPr>
      </w:pPr>
      <w:r w:rsidRPr="00037AF5">
        <w:t xml:space="preserve">Несмотря на </w:t>
      </w:r>
      <w:proofErr w:type="gramStart"/>
      <w:r w:rsidR="00A76F61">
        <w:t>то</w:t>
      </w:r>
      <w:proofErr w:type="gramEnd"/>
      <w:r w:rsidR="00A76F61">
        <w:t xml:space="preserve"> что компании </w:t>
      </w:r>
      <w:r w:rsidR="00A76F61" w:rsidRPr="00037AF5">
        <w:t xml:space="preserve">биофармацевтической отрасли </w:t>
      </w:r>
      <w:r w:rsidR="00A76F61">
        <w:t xml:space="preserve">продолжают извлекать выгоду из </w:t>
      </w:r>
      <w:r w:rsidRPr="00037AF5">
        <w:t xml:space="preserve"> </w:t>
      </w:r>
      <w:r w:rsidR="00A76F61">
        <w:t>одобрения</w:t>
      </w:r>
      <w:r w:rsidR="00A76F61" w:rsidRPr="00037AF5">
        <w:t xml:space="preserve"> </w:t>
      </w:r>
      <w:r w:rsidRPr="00037AF5">
        <w:t xml:space="preserve">новых лекарственных препаратов и </w:t>
      </w:r>
      <w:r w:rsidR="008D2BD6">
        <w:t>солидного</w:t>
      </w:r>
      <w:r w:rsidR="00A76F61">
        <w:t xml:space="preserve"> </w:t>
      </w:r>
      <w:r w:rsidR="00A76F61" w:rsidRPr="00037AF5">
        <w:t xml:space="preserve"> </w:t>
      </w:r>
      <w:r w:rsidRPr="00037AF5">
        <w:t>портфеля потенциальных сделок, в отчете обозначены определенные сложности</w:t>
      </w:r>
      <w:r w:rsidR="008D2BD6">
        <w:t xml:space="preserve"> в отрасли</w:t>
      </w:r>
      <w:r w:rsidRPr="00037AF5">
        <w:t xml:space="preserve">, которые могут привести к росту </w:t>
      </w:r>
      <w:r w:rsidR="008D2BD6">
        <w:t xml:space="preserve">числа </w:t>
      </w:r>
      <w:r w:rsidRPr="00037AF5">
        <w:t>сделок M&amp;A в 2016 и последующих годах:</w:t>
      </w:r>
    </w:p>
    <w:p w:rsidR="00057116" w:rsidRPr="00037AF5" w:rsidRDefault="00057116" w:rsidP="00057116">
      <w:pPr>
        <w:pStyle w:val="EYBodytextwithparaspace"/>
        <w:numPr>
          <w:ilvl w:val="0"/>
          <w:numId w:val="5"/>
        </w:numPr>
        <w:spacing w:after="240"/>
        <w:rPr>
          <w:rFonts w:cs="Arial"/>
          <w:szCs w:val="22"/>
        </w:rPr>
      </w:pPr>
      <w:r w:rsidRPr="00037AF5">
        <w:rPr>
          <w:b/>
        </w:rPr>
        <w:t xml:space="preserve">Консолидация покупателей может </w:t>
      </w:r>
      <w:r w:rsidR="008D2BD6">
        <w:rPr>
          <w:b/>
        </w:rPr>
        <w:t>стать драйвером сделок слияния и поглощения</w:t>
      </w:r>
      <w:r w:rsidRPr="00037AF5">
        <w:rPr>
          <w:b/>
        </w:rPr>
        <w:t>:</w:t>
      </w:r>
      <w:r w:rsidRPr="00037AF5">
        <w:t xml:space="preserve"> объединение крупных компаний-покупателей и дальнейшая консолидация управляющих компаний фармацевтической отрасли позволяют </w:t>
      </w:r>
      <w:r w:rsidR="00E52234" w:rsidRPr="00037AF5">
        <w:t xml:space="preserve">им </w:t>
      </w:r>
      <w:r w:rsidR="00E52234" w:rsidRPr="00037AF5">
        <w:lastRenderedPageBreak/>
        <w:t xml:space="preserve">оказывать </w:t>
      </w:r>
      <w:r w:rsidRPr="00037AF5">
        <w:t>значительно</w:t>
      </w:r>
      <w:r w:rsidR="00E52234" w:rsidRPr="00BA27B0">
        <w:t>е</w:t>
      </w:r>
      <w:r w:rsidRPr="00037AF5">
        <w:t xml:space="preserve"> </w:t>
      </w:r>
      <w:r w:rsidR="00E52234" w:rsidRPr="00037AF5">
        <w:t>влияние на ход</w:t>
      </w:r>
      <w:r w:rsidRPr="00037AF5">
        <w:t xml:space="preserve"> переговоров. В результате </w:t>
      </w:r>
      <w:r w:rsidR="00292E08" w:rsidRPr="00037AF5">
        <w:t xml:space="preserve">биофармацевтические </w:t>
      </w:r>
      <w:r w:rsidRPr="00037AF5">
        <w:t xml:space="preserve">компании могут столкнуться с новыми сложностями в рамках обеспечения роста продаж, что обусловит необходимость </w:t>
      </w:r>
      <w:r w:rsidR="00292E08" w:rsidRPr="00037AF5">
        <w:t xml:space="preserve">сделок </w:t>
      </w:r>
      <w:r w:rsidRPr="00037AF5">
        <w:t xml:space="preserve">M&amp;A и приведет к снижению индекса их потенциала для сокращения разрыва в росте. </w:t>
      </w:r>
    </w:p>
    <w:p w:rsidR="00057116" w:rsidRPr="00037AF5" w:rsidRDefault="00057116" w:rsidP="00057116">
      <w:pPr>
        <w:pStyle w:val="EYBodytextwithparaspace"/>
        <w:numPr>
          <w:ilvl w:val="0"/>
          <w:numId w:val="6"/>
        </w:numPr>
        <w:spacing w:after="240"/>
        <w:rPr>
          <w:rFonts w:cs="Arial"/>
          <w:szCs w:val="22"/>
        </w:rPr>
      </w:pPr>
      <w:r w:rsidRPr="00037AF5">
        <w:rPr>
          <w:b/>
        </w:rPr>
        <w:t>Дальнейшая продажа активов:</w:t>
      </w:r>
      <w:r w:rsidRPr="00037AF5">
        <w:t xml:space="preserve"> на долю продажи активов приходится примерно 25% от совокупной стоимости сделок M&amp;A. К концу 2015 года индекс компаний, реализующих активы, вырос по сравнению с </w:t>
      </w:r>
      <w:r w:rsidR="00604C14" w:rsidRPr="00037AF5">
        <w:t xml:space="preserve">остальными </w:t>
      </w:r>
      <w:r w:rsidRPr="00037AF5">
        <w:t xml:space="preserve">компаниями </w:t>
      </w:r>
      <w:r w:rsidR="00604C14" w:rsidRPr="00037AF5">
        <w:t xml:space="preserve">отрасли </w:t>
      </w:r>
      <w:r w:rsidRPr="00037AF5">
        <w:t>и обеспечил большую совокупную прибыль для инвесторов. В ходе дальнейшей трансформации портфелей продажа активов будет и впредь насчитывать примерно 25% от сделок M&amp;A в 2016 году.</w:t>
      </w:r>
    </w:p>
    <w:p w:rsidR="00057116" w:rsidRPr="00037AF5" w:rsidRDefault="00057116" w:rsidP="00057116">
      <w:pPr>
        <w:pStyle w:val="EYBodytextwithparaspace"/>
        <w:numPr>
          <w:ilvl w:val="0"/>
          <w:numId w:val="6"/>
        </w:numPr>
        <w:spacing w:after="240"/>
        <w:rPr>
          <w:rFonts w:cs="Arial"/>
          <w:szCs w:val="22"/>
        </w:rPr>
      </w:pPr>
      <w:r w:rsidRPr="00037AF5">
        <w:rPr>
          <w:b/>
        </w:rPr>
        <w:t>Биотехнологические компании усилят активность</w:t>
      </w:r>
      <w:r w:rsidR="00E630B8">
        <w:rPr>
          <w:b/>
        </w:rPr>
        <w:t xml:space="preserve"> в части заключения сделок</w:t>
      </w:r>
      <w:r w:rsidRPr="00037AF5">
        <w:rPr>
          <w:b/>
        </w:rPr>
        <w:t>:</w:t>
      </w:r>
      <w:r w:rsidRPr="00037AF5">
        <w:t xml:space="preserve"> давление покупателей и конкуренция в разрезе определенных разделов терапии повышают вероятность того, что количество сделок M&amp;A превысит показатель 2015 года (25 </w:t>
      </w:r>
      <w:proofErr w:type="gramStart"/>
      <w:r w:rsidRPr="00037AF5">
        <w:t>млрд</w:t>
      </w:r>
      <w:proofErr w:type="gramEnd"/>
      <w:r w:rsidRPr="00037AF5">
        <w:t xml:space="preserve"> долларов США). Более того, биотехнологические компании повысили свой индекс потенциала и увеличили долю на рынке в 2015 году, тем самым улучшив свои перспективы на 2016 год. </w:t>
      </w:r>
    </w:p>
    <w:p w:rsidR="00112A87" w:rsidRDefault="00035B75" w:rsidP="00322B29">
      <w:pPr>
        <w:pStyle w:val="EYBodytextwithparaspace"/>
        <w:spacing w:after="240"/>
      </w:pPr>
      <w:r w:rsidRPr="00035B75">
        <w:t>Джеффри Грин, руководитель глобальной практики EY по оказанию консультационных услуг по сделкам компаниям медико-биологической отрасли,</w:t>
      </w:r>
      <w:r w:rsidRPr="00035B75" w:rsidDel="00035B75">
        <w:t xml:space="preserve"> </w:t>
      </w:r>
      <w:r w:rsidR="00057116" w:rsidRPr="00037AF5">
        <w:t xml:space="preserve">говорит: </w:t>
      </w:r>
      <w:r>
        <w:t>«</w:t>
      </w:r>
      <w:r w:rsidR="00057116" w:rsidRPr="00037AF5">
        <w:t xml:space="preserve">Факторы, обеспечивающие рост сделок M&amp;A в 2015 году, включая консолидацию покупателей, рост затрат на здравоохранение и необходимость роста компаний, только усиливаются. С учетом этого давления заоблачные показатели годового объема сделок M&amp;A в размере 200 </w:t>
      </w:r>
      <w:proofErr w:type="gramStart"/>
      <w:r w:rsidR="00057116" w:rsidRPr="00037AF5">
        <w:t>млрд</w:t>
      </w:r>
      <w:proofErr w:type="gramEnd"/>
      <w:r w:rsidR="00057116" w:rsidRPr="00037AF5">
        <w:t xml:space="preserve"> долларов США могут стать новой реальностью в обозримом будущем. Мы ожидаем, что в 2016 году сделки слияний и поглощений будут направлены на завоевание более узких терапевтических ниш, усиление присутствия в том или ином регионе и рационализацию портфеля активов</w:t>
      </w:r>
      <w:r>
        <w:t>»</w:t>
      </w:r>
      <w:r w:rsidR="00057116" w:rsidRPr="00037AF5">
        <w:t>.</w:t>
      </w:r>
    </w:p>
    <w:p w:rsidR="00112A87" w:rsidRPr="00112A87" w:rsidRDefault="00DA3C4E" w:rsidP="00322B29">
      <w:pPr>
        <w:pStyle w:val="EYBodytextwithparaspace"/>
        <w:spacing w:after="240"/>
      </w:pPr>
      <w:r w:rsidRPr="00DA3C4E">
        <w:rPr>
          <w:b/>
        </w:rPr>
        <w:t>Дмитрий Халилов, партнер EY, руководитель группы по оказанию услуг предприятиям медико-биологической отрасли в России и СНГ</w:t>
      </w:r>
      <w:r w:rsidRPr="00DA3C4E">
        <w:t xml:space="preserve">, говорит: «Россия тоже не стоит в стороне от общемирового тренда роста активности в сфере M&amp;A, причем консолидация происходит по всей отрасли – от розницы до производителей и R&amp;D компаний. Мы наблюдаем на рынке активный поиск </w:t>
      </w:r>
      <w:proofErr w:type="gramStart"/>
      <w:r w:rsidRPr="00DA3C4E">
        <w:t>иностранными</w:t>
      </w:r>
      <w:proofErr w:type="gramEnd"/>
      <w:r w:rsidRPr="00DA3C4E">
        <w:t xml:space="preserve"> фармкомпаниями объектов для приобретения: как отдельных компаний, так и препаратов, включая разработки на разных стадиях готовности. От иностранных компаний не отстают и </w:t>
      </w:r>
      <w:r w:rsidRPr="00DA3C4E">
        <w:lastRenderedPageBreak/>
        <w:t>российские компании, для которых в данный период времени сложился очень благоприятный момент поддержки государством отечественных производителей».</w:t>
      </w:r>
    </w:p>
    <w:p w:rsidR="00E329F3" w:rsidRPr="00E329F3" w:rsidRDefault="00E329F3" w:rsidP="00E329F3">
      <w:pPr>
        <w:shd w:val="clear" w:color="auto" w:fill="FFFFFF"/>
        <w:spacing w:before="135" w:after="135" w:line="360" w:lineRule="auto"/>
        <w:rPr>
          <w:rFonts w:eastAsia="Calibri" w:cs="Arial"/>
          <w:sz w:val="18"/>
          <w:szCs w:val="18"/>
          <w:lang w:eastAsia="en-US" w:bidi="ar-SA"/>
        </w:rPr>
      </w:pPr>
      <w:r w:rsidRPr="00E329F3">
        <w:rPr>
          <w:rFonts w:eastAsia="Calibri" w:cs="Arial"/>
          <w:b/>
          <w:sz w:val="18"/>
          <w:szCs w:val="18"/>
          <w:lang w:eastAsia="en-US" w:bidi="ar-SA"/>
        </w:rPr>
        <w:t xml:space="preserve">Краткая информация о компании </w:t>
      </w:r>
      <w:r w:rsidRPr="00E329F3">
        <w:rPr>
          <w:rFonts w:eastAsia="Calibri" w:cs="Arial"/>
          <w:b/>
          <w:sz w:val="18"/>
          <w:szCs w:val="18"/>
          <w:lang w:val="en-US" w:eastAsia="en-US" w:bidi="ar-SA"/>
        </w:rPr>
        <w:t>EY</w:t>
      </w:r>
    </w:p>
    <w:p w:rsidR="00E329F3" w:rsidRPr="00E329F3" w:rsidRDefault="00E329F3" w:rsidP="00E329F3">
      <w:pPr>
        <w:autoSpaceDE w:val="0"/>
        <w:autoSpaceDN w:val="0"/>
        <w:adjustRightInd w:val="0"/>
        <w:spacing w:after="240" w:line="360" w:lineRule="auto"/>
        <w:rPr>
          <w:rFonts w:eastAsia="Calibri" w:cs="Arial"/>
          <w:sz w:val="18"/>
          <w:szCs w:val="18"/>
          <w:lang w:eastAsia="en-US" w:bidi="ar-SA"/>
        </w:rPr>
      </w:pPr>
      <w:proofErr w:type="gramStart"/>
      <w:r w:rsidRPr="00E329F3">
        <w:rPr>
          <w:rFonts w:eastAsia="Calibri" w:cs="Arial"/>
          <w:sz w:val="18"/>
          <w:szCs w:val="18"/>
          <w:lang w:val="en-US" w:eastAsia="en-US" w:bidi="ar-SA"/>
        </w:rPr>
        <w:t>EY</w:t>
      </w:r>
      <w:r w:rsidRPr="00E329F3">
        <w:rPr>
          <w:rFonts w:eastAsia="Calibri" w:cs="Arial"/>
          <w:sz w:val="18"/>
          <w:szCs w:val="18"/>
          <w:lang w:eastAsia="en-US" w:bidi="ar-SA"/>
        </w:rPr>
        <w:t xml:space="preserve"> является международным лидером в области аудита, налогообложения, сопровождения сделок и консультирования.</w:t>
      </w:r>
      <w:proofErr w:type="gramEnd"/>
      <w:r w:rsidRPr="00E329F3">
        <w:rPr>
          <w:rFonts w:eastAsia="Calibri" w:cs="Arial"/>
          <w:sz w:val="18"/>
          <w:szCs w:val="18"/>
          <w:lang w:eastAsia="en-US" w:bidi="ar-SA"/>
        </w:rPr>
        <w:t xml:space="preserve"> Наши знания и качество услуг помогают укреплять доверие общественности к рынкам капитала и экономике в разных странах мира. Мы формируем выдающихся лидеров, под руководством которых наш коллектив всегда выполняет взятые на себя обязательства. Тем самым мы вносим значимый вклад в улучшение деловой среды на благо наших сотрудников, клиентов и общества в целом.</w:t>
      </w:r>
    </w:p>
    <w:p w:rsidR="00E329F3" w:rsidRPr="00E329F3" w:rsidRDefault="00E329F3" w:rsidP="00E329F3">
      <w:pPr>
        <w:spacing w:after="240" w:line="360" w:lineRule="auto"/>
        <w:rPr>
          <w:rFonts w:eastAsia="Calibri" w:cs="Arial"/>
          <w:sz w:val="18"/>
          <w:szCs w:val="18"/>
          <w:lang w:eastAsia="en-US" w:bidi="ar-SA"/>
        </w:rPr>
      </w:pPr>
      <w:r w:rsidRPr="00E329F3">
        <w:rPr>
          <w:rFonts w:eastAsia="Calibri" w:cs="Arial"/>
          <w:sz w:val="18"/>
          <w:szCs w:val="18"/>
          <w:lang w:eastAsia="en-US" w:bidi="ar-SA"/>
        </w:rPr>
        <w:t xml:space="preserve">Мы взаимодействуем </w:t>
      </w:r>
      <w:r w:rsidRPr="00E329F3">
        <w:rPr>
          <w:rFonts w:eastAsia="Calibri" w:cs="Arial"/>
          <w:sz w:val="18"/>
          <w:szCs w:val="18"/>
          <w:lang w:val="en-US" w:eastAsia="en-US" w:bidi="ar-SA"/>
        </w:rPr>
        <w:t>c</w:t>
      </w:r>
      <w:r w:rsidRPr="00E329F3">
        <w:rPr>
          <w:rFonts w:eastAsia="Calibri" w:cs="Arial"/>
          <w:sz w:val="18"/>
          <w:szCs w:val="18"/>
          <w:lang w:eastAsia="en-US" w:bidi="ar-SA"/>
        </w:rPr>
        <w:t xml:space="preserve"> компаниями из стран СНГ, помогая им в достижении </w:t>
      </w:r>
      <w:proofErr w:type="gramStart"/>
      <w:r w:rsidRPr="00E329F3">
        <w:rPr>
          <w:rFonts w:eastAsia="Calibri" w:cs="Arial"/>
          <w:sz w:val="18"/>
          <w:szCs w:val="18"/>
          <w:lang w:eastAsia="en-US" w:bidi="ar-SA"/>
        </w:rPr>
        <w:t>бизнес-целей</w:t>
      </w:r>
      <w:proofErr w:type="gramEnd"/>
      <w:r w:rsidRPr="00E329F3">
        <w:rPr>
          <w:rFonts w:eastAsia="Calibri" w:cs="Arial"/>
          <w:sz w:val="18"/>
          <w:szCs w:val="18"/>
          <w:lang w:eastAsia="en-US" w:bidi="ar-SA"/>
        </w:rPr>
        <w:t xml:space="preserve">. </w:t>
      </w:r>
      <w:proofErr w:type="gramStart"/>
      <w:r w:rsidRPr="00E329F3">
        <w:rPr>
          <w:rFonts w:eastAsia="Calibri" w:cs="Arial"/>
          <w:sz w:val="18"/>
          <w:szCs w:val="18"/>
          <w:lang w:eastAsia="en-US" w:bidi="ar-SA"/>
        </w:rPr>
        <w:t>В 20 офисах нашей фирмы (в Москве, Санкт-Петербурге, Новосибирске, Екатеринбурге, Казани, Краснодаре, Ростове-на-Дону, Владивостоке, Южно-Сахалинске, Тольятти, Алматы, Астане, Атырау, Бишкеке, Баку, Киеве, Ташкенте, Тбилиси, Ереване и Минске) работают 4500 специалистов.</w:t>
      </w:r>
      <w:proofErr w:type="gramEnd"/>
    </w:p>
    <w:p w:rsidR="00E329F3" w:rsidRPr="00E329F3" w:rsidRDefault="00E329F3" w:rsidP="00E329F3">
      <w:pPr>
        <w:autoSpaceDE w:val="0"/>
        <w:autoSpaceDN w:val="0"/>
        <w:adjustRightInd w:val="0"/>
        <w:spacing w:after="240" w:line="360" w:lineRule="auto"/>
        <w:rPr>
          <w:rFonts w:eastAsia="Calibri" w:cs="Arial"/>
          <w:sz w:val="18"/>
          <w:szCs w:val="18"/>
          <w:lang w:eastAsia="en-US" w:bidi="ar-SA"/>
        </w:rPr>
      </w:pPr>
      <w:r w:rsidRPr="00E329F3">
        <w:rPr>
          <w:rFonts w:eastAsia="Calibri" w:cs="Arial"/>
          <w:sz w:val="18"/>
          <w:szCs w:val="18"/>
          <w:lang w:eastAsia="en-US" w:bidi="ar-SA"/>
        </w:rPr>
        <w:t xml:space="preserve">Название </w:t>
      </w:r>
      <w:r w:rsidRPr="00E329F3">
        <w:rPr>
          <w:rFonts w:eastAsia="Calibri" w:cs="Arial"/>
          <w:sz w:val="18"/>
          <w:szCs w:val="18"/>
          <w:lang w:val="en-US" w:eastAsia="en-US" w:bidi="ar-SA"/>
        </w:rPr>
        <w:t>EY</w:t>
      </w:r>
      <w:r w:rsidRPr="00E329F3">
        <w:rPr>
          <w:rFonts w:eastAsia="Calibri" w:cs="Arial"/>
          <w:sz w:val="18"/>
          <w:szCs w:val="18"/>
          <w:lang w:eastAsia="en-US" w:bidi="ar-SA"/>
        </w:rPr>
        <w:t xml:space="preserve"> относится к глобальной организации и может относиться к одной или нескольким компаниям, входящим в состав </w:t>
      </w:r>
      <w:r w:rsidRPr="00E329F3">
        <w:rPr>
          <w:rFonts w:eastAsia="Calibri" w:cs="Arial"/>
          <w:sz w:val="18"/>
          <w:szCs w:val="18"/>
          <w:lang w:val="en-US" w:eastAsia="en-US" w:bidi="ar-SA"/>
        </w:rPr>
        <w:t>Ernst</w:t>
      </w:r>
      <w:r w:rsidRPr="00E329F3">
        <w:rPr>
          <w:rFonts w:eastAsia="Calibri" w:cs="Arial"/>
          <w:sz w:val="18"/>
          <w:szCs w:val="18"/>
          <w:lang w:eastAsia="en-US" w:bidi="ar-SA"/>
        </w:rPr>
        <w:t xml:space="preserve"> &amp; </w:t>
      </w:r>
      <w:r w:rsidRPr="00E329F3">
        <w:rPr>
          <w:rFonts w:eastAsia="Calibri" w:cs="Arial"/>
          <w:sz w:val="18"/>
          <w:szCs w:val="18"/>
          <w:lang w:val="en-US" w:eastAsia="en-US" w:bidi="ar-SA"/>
        </w:rPr>
        <w:t>Young</w:t>
      </w:r>
      <w:r w:rsidRPr="00E329F3">
        <w:rPr>
          <w:rFonts w:eastAsia="Calibri" w:cs="Arial"/>
          <w:sz w:val="18"/>
          <w:szCs w:val="18"/>
          <w:lang w:eastAsia="en-US" w:bidi="ar-SA"/>
        </w:rPr>
        <w:t xml:space="preserve"> </w:t>
      </w:r>
      <w:r w:rsidRPr="00E329F3">
        <w:rPr>
          <w:rFonts w:eastAsia="Calibri" w:cs="Arial"/>
          <w:sz w:val="18"/>
          <w:szCs w:val="18"/>
          <w:lang w:val="en-US" w:eastAsia="en-US" w:bidi="ar-SA"/>
        </w:rPr>
        <w:t>Global</w:t>
      </w:r>
      <w:r w:rsidRPr="00E329F3">
        <w:rPr>
          <w:rFonts w:eastAsia="Calibri" w:cs="Arial"/>
          <w:sz w:val="18"/>
          <w:szCs w:val="18"/>
          <w:lang w:eastAsia="en-US" w:bidi="ar-SA"/>
        </w:rPr>
        <w:t xml:space="preserve"> </w:t>
      </w:r>
      <w:r w:rsidRPr="00E329F3">
        <w:rPr>
          <w:rFonts w:eastAsia="Calibri" w:cs="Arial"/>
          <w:sz w:val="18"/>
          <w:szCs w:val="18"/>
          <w:lang w:val="en-US" w:eastAsia="en-US" w:bidi="ar-SA"/>
        </w:rPr>
        <w:t>Limited</w:t>
      </w:r>
      <w:r w:rsidRPr="00E329F3">
        <w:rPr>
          <w:rFonts w:eastAsia="Calibri" w:cs="Arial"/>
          <w:sz w:val="18"/>
          <w:szCs w:val="18"/>
          <w:lang w:eastAsia="en-US" w:bidi="ar-SA"/>
        </w:rPr>
        <w:t xml:space="preserve">, каждая из которых является отдельным юридическим лицом. </w:t>
      </w:r>
      <w:proofErr w:type="gramStart"/>
      <w:r w:rsidRPr="00E329F3">
        <w:rPr>
          <w:rFonts w:eastAsia="Calibri" w:cs="Arial"/>
          <w:sz w:val="18"/>
          <w:szCs w:val="18"/>
          <w:lang w:val="en-US" w:eastAsia="en-US" w:bidi="ar-SA"/>
        </w:rPr>
        <w:t>Ernst</w:t>
      </w:r>
      <w:r w:rsidRPr="00E329F3">
        <w:rPr>
          <w:rFonts w:eastAsia="Calibri" w:cs="Arial"/>
          <w:sz w:val="18"/>
          <w:szCs w:val="18"/>
          <w:lang w:eastAsia="en-US" w:bidi="ar-SA"/>
        </w:rPr>
        <w:t xml:space="preserve"> &amp; </w:t>
      </w:r>
      <w:r w:rsidRPr="00E329F3">
        <w:rPr>
          <w:rFonts w:eastAsia="Calibri" w:cs="Arial"/>
          <w:sz w:val="18"/>
          <w:szCs w:val="18"/>
          <w:lang w:val="en-US" w:eastAsia="en-US" w:bidi="ar-SA"/>
        </w:rPr>
        <w:t>Young</w:t>
      </w:r>
      <w:r w:rsidRPr="00E329F3">
        <w:rPr>
          <w:rFonts w:eastAsia="Calibri" w:cs="Arial"/>
          <w:sz w:val="18"/>
          <w:szCs w:val="18"/>
          <w:lang w:eastAsia="en-US" w:bidi="ar-SA"/>
        </w:rPr>
        <w:t xml:space="preserve"> </w:t>
      </w:r>
      <w:r w:rsidRPr="00E329F3">
        <w:rPr>
          <w:rFonts w:eastAsia="Calibri" w:cs="Arial"/>
          <w:sz w:val="18"/>
          <w:szCs w:val="18"/>
          <w:lang w:val="en-US" w:eastAsia="en-US" w:bidi="ar-SA"/>
        </w:rPr>
        <w:t>Global</w:t>
      </w:r>
      <w:r w:rsidRPr="00E329F3">
        <w:rPr>
          <w:rFonts w:eastAsia="Calibri" w:cs="Arial"/>
          <w:sz w:val="18"/>
          <w:szCs w:val="18"/>
          <w:lang w:eastAsia="en-US" w:bidi="ar-SA"/>
        </w:rPr>
        <w:t xml:space="preserve"> </w:t>
      </w:r>
      <w:r w:rsidRPr="00E329F3">
        <w:rPr>
          <w:rFonts w:eastAsia="Calibri" w:cs="Arial"/>
          <w:sz w:val="18"/>
          <w:szCs w:val="18"/>
          <w:lang w:val="en-US" w:eastAsia="en-US" w:bidi="ar-SA"/>
        </w:rPr>
        <w:t>Limited</w:t>
      </w:r>
      <w:r w:rsidRPr="00E329F3">
        <w:rPr>
          <w:rFonts w:eastAsia="Calibri" w:cs="Arial"/>
          <w:sz w:val="18"/>
          <w:szCs w:val="18"/>
          <w:lang w:eastAsia="en-US" w:bidi="ar-SA"/>
        </w:rPr>
        <w:t xml:space="preserve"> − юридическое лицо, созданное в соответствии с законодательством Великобритании, − является компанией, ограниченной гарантиями ее участников, и не оказывает услуг клиентам.</w:t>
      </w:r>
      <w:proofErr w:type="gramEnd"/>
      <w:r w:rsidRPr="00E329F3">
        <w:rPr>
          <w:rFonts w:eastAsia="Calibri" w:cs="Arial"/>
          <w:sz w:val="18"/>
          <w:szCs w:val="18"/>
          <w:lang w:eastAsia="en-US" w:bidi="ar-SA"/>
        </w:rPr>
        <w:t xml:space="preserve"> Более подробная информация представлена на нашем сайте: </w:t>
      </w:r>
      <w:r w:rsidRPr="00E329F3">
        <w:rPr>
          <w:rFonts w:eastAsia="Calibri" w:cs="Arial"/>
          <w:sz w:val="18"/>
          <w:szCs w:val="18"/>
          <w:lang w:val="en-US" w:eastAsia="en-US" w:bidi="ar-SA"/>
        </w:rPr>
        <w:t>ey</w:t>
      </w:r>
      <w:r w:rsidRPr="00E329F3">
        <w:rPr>
          <w:rFonts w:eastAsia="Calibri" w:cs="Arial"/>
          <w:sz w:val="18"/>
          <w:szCs w:val="18"/>
          <w:lang w:eastAsia="en-US" w:bidi="ar-SA"/>
        </w:rPr>
        <w:t>.</w:t>
      </w:r>
      <w:r w:rsidRPr="00E329F3">
        <w:rPr>
          <w:rFonts w:eastAsia="Calibri" w:cs="Arial"/>
          <w:sz w:val="18"/>
          <w:szCs w:val="18"/>
          <w:lang w:val="en-US" w:eastAsia="en-US" w:bidi="ar-SA"/>
        </w:rPr>
        <w:t>com</w:t>
      </w:r>
      <w:r w:rsidRPr="00E329F3">
        <w:rPr>
          <w:rFonts w:eastAsia="Calibri" w:cs="Arial"/>
          <w:sz w:val="18"/>
          <w:szCs w:val="18"/>
          <w:lang w:eastAsia="en-US" w:bidi="ar-SA"/>
        </w:rPr>
        <w:t>.</w:t>
      </w:r>
    </w:p>
    <w:p w:rsidR="00CF3EF8" w:rsidRPr="00E329F3" w:rsidRDefault="00E329F3" w:rsidP="00E329F3">
      <w:pPr>
        <w:suppressAutoHyphens/>
        <w:spacing w:after="240" w:line="360" w:lineRule="auto"/>
        <w:rPr>
          <w:rFonts w:eastAsia="Calibri" w:cs="Arial"/>
          <w:i/>
          <w:sz w:val="18"/>
          <w:szCs w:val="18"/>
          <w:lang w:eastAsia="en-US" w:bidi="ar-SA"/>
        </w:rPr>
      </w:pPr>
      <w:r w:rsidRPr="00E329F3">
        <w:rPr>
          <w:rFonts w:eastAsia="Calibri" w:cs="Arial"/>
          <w:i/>
          <w:sz w:val="18"/>
          <w:szCs w:val="18"/>
          <w:lang w:eastAsia="en-US" w:bidi="ar-SA"/>
        </w:rPr>
        <w:t xml:space="preserve">Настоящий пресс-релиз выпущен </w:t>
      </w:r>
      <w:r w:rsidRPr="00E329F3">
        <w:rPr>
          <w:rFonts w:eastAsia="Calibri" w:cs="Arial"/>
          <w:i/>
          <w:sz w:val="18"/>
          <w:szCs w:val="18"/>
          <w:lang w:val="en-US" w:eastAsia="en-US" w:bidi="ar-SA"/>
        </w:rPr>
        <w:t>EYGM</w:t>
      </w:r>
      <w:r w:rsidRPr="00E329F3">
        <w:rPr>
          <w:rFonts w:eastAsia="Calibri" w:cs="Arial"/>
          <w:i/>
          <w:sz w:val="18"/>
          <w:szCs w:val="18"/>
          <w:lang w:eastAsia="en-US" w:bidi="ar-SA"/>
        </w:rPr>
        <w:t xml:space="preserve"> </w:t>
      </w:r>
      <w:r w:rsidRPr="00E329F3">
        <w:rPr>
          <w:rFonts w:eastAsia="Calibri" w:cs="Arial"/>
          <w:i/>
          <w:sz w:val="18"/>
          <w:szCs w:val="18"/>
          <w:lang w:val="en-US" w:eastAsia="en-US" w:bidi="ar-SA"/>
        </w:rPr>
        <w:t>Limited</w:t>
      </w:r>
      <w:r w:rsidRPr="00E329F3">
        <w:rPr>
          <w:rFonts w:eastAsia="Calibri" w:cs="Arial"/>
          <w:i/>
          <w:sz w:val="18"/>
          <w:szCs w:val="18"/>
          <w:lang w:eastAsia="en-US" w:bidi="ar-SA"/>
        </w:rPr>
        <w:t>, компанией, входящей в состав глобальной организации EY, которая также не оказывает услуг клиентам.</w:t>
      </w:r>
    </w:p>
    <w:p w:rsidR="004C65DA" w:rsidRPr="00037AF5" w:rsidRDefault="004C65DA" w:rsidP="004C65DA">
      <w:pPr>
        <w:pStyle w:val="EYBodytextwithparaspace"/>
        <w:spacing w:after="0"/>
        <w:rPr>
          <w:rFonts w:cs="Arial"/>
          <w:b/>
          <w:sz w:val="18"/>
          <w:szCs w:val="18"/>
        </w:rPr>
      </w:pPr>
      <w:r w:rsidRPr="00037AF5">
        <w:rPr>
          <w:b/>
          <w:sz w:val="18"/>
        </w:rPr>
        <w:t>Об индексе экономического потенциала EY</w:t>
      </w:r>
    </w:p>
    <w:p w:rsidR="004C65DA" w:rsidRPr="00037AF5" w:rsidRDefault="004C65DA" w:rsidP="004C65DA">
      <w:pPr>
        <w:pStyle w:val="EYBodytextwithparaspace"/>
        <w:spacing w:after="0"/>
        <w:rPr>
          <w:rFonts w:cs="Arial"/>
          <w:sz w:val="18"/>
          <w:szCs w:val="18"/>
        </w:rPr>
      </w:pPr>
      <w:r w:rsidRPr="00037AF5">
        <w:rPr>
          <w:sz w:val="18"/>
        </w:rPr>
        <w:t>Уже четвертый год индекс экономического потенциала EY измеряет способность компаний финансировать сделки на осн</w:t>
      </w:r>
      <w:r w:rsidR="004D112C">
        <w:rPr>
          <w:sz w:val="18"/>
        </w:rPr>
        <w:t xml:space="preserve">овании их баланса. Учитываются </w:t>
      </w:r>
      <w:r w:rsidRPr="00037AF5">
        <w:rPr>
          <w:sz w:val="18"/>
        </w:rPr>
        <w:t xml:space="preserve">четыре ключевых параметра: 1) наличные денежные средства и их эквиваленты; 2) существующий долг; 3) кредитные линии и кредитоспособность и 4) рыночная капитализация. Модель сконструирована на основе следующих предположений: во-первых, компания не будет приобретать активы, стоимость которых превышает 50% ее текущей рыночной капитализации, во-вторых, соотношение собственного и заемного капиталов компании, создаваемой при сделке, не может превышать 30%. </w:t>
      </w:r>
    </w:p>
    <w:p w:rsidR="004C65DA" w:rsidRPr="00037AF5" w:rsidRDefault="004C65DA" w:rsidP="004C65DA">
      <w:pPr>
        <w:pStyle w:val="EYBodytextwithparaspace"/>
        <w:spacing w:after="0"/>
        <w:rPr>
          <w:rFonts w:cs="Arial"/>
          <w:sz w:val="18"/>
          <w:szCs w:val="18"/>
        </w:rPr>
      </w:pPr>
    </w:p>
    <w:p w:rsidR="004C65DA" w:rsidRPr="00037AF5" w:rsidRDefault="004C65DA" w:rsidP="004C65DA">
      <w:pPr>
        <w:pStyle w:val="EYBodytextwithparaspace"/>
        <w:spacing w:after="0"/>
        <w:rPr>
          <w:rFonts w:cs="Arial"/>
          <w:sz w:val="18"/>
          <w:szCs w:val="18"/>
        </w:rPr>
      </w:pPr>
      <w:r w:rsidRPr="00037AF5">
        <w:rPr>
          <w:sz w:val="18"/>
        </w:rPr>
        <w:t xml:space="preserve">Хотя некоторые фармацевтические компании в ходе приобретения вышли за указанные пределы, мы намереваемся применять унифицированную методологию для измерения относительных изменений экономического потенциала. Индекс экономического потенциала измеряет способность к заключению сделок M&amp;A, финансируемых за счет наличных денежных либо заемных средств. Он не измеряет способность проводить сделки по обмену ценными бумагами. Однако рост цены на акции компании увеличивает ее экономический потенциал в соответствии с формулой расчета индекса экономического потенциала. Это </w:t>
      </w:r>
      <w:r w:rsidR="00427E43" w:rsidRPr="00037AF5">
        <w:rPr>
          <w:sz w:val="18"/>
        </w:rPr>
        <w:t>обусловлено тем</w:t>
      </w:r>
      <w:r w:rsidRPr="00037AF5">
        <w:rPr>
          <w:sz w:val="18"/>
        </w:rPr>
        <w:t>, что капитал позволяет компаниям занимать больше</w:t>
      </w:r>
      <w:r w:rsidR="00427E43" w:rsidRPr="00037AF5">
        <w:rPr>
          <w:sz w:val="18"/>
        </w:rPr>
        <w:t xml:space="preserve"> сре</w:t>
      </w:r>
      <w:proofErr w:type="gramStart"/>
      <w:r w:rsidR="00427E43" w:rsidRPr="00037AF5">
        <w:rPr>
          <w:sz w:val="18"/>
        </w:rPr>
        <w:t>дств</w:t>
      </w:r>
      <w:r w:rsidRPr="00037AF5">
        <w:rPr>
          <w:sz w:val="18"/>
        </w:rPr>
        <w:t xml:space="preserve"> дл</w:t>
      </w:r>
      <w:proofErr w:type="gramEnd"/>
      <w:r w:rsidRPr="00037AF5">
        <w:rPr>
          <w:sz w:val="18"/>
        </w:rPr>
        <w:t xml:space="preserve">я финансирования сделок. </w:t>
      </w:r>
    </w:p>
    <w:p w:rsidR="004C65DA" w:rsidRPr="00037AF5" w:rsidRDefault="004C65DA" w:rsidP="004C65DA">
      <w:pPr>
        <w:pStyle w:val="EYBodytextwithparaspace"/>
        <w:spacing w:after="0"/>
        <w:rPr>
          <w:rFonts w:cs="Arial"/>
          <w:sz w:val="18"/>
          <w:szCs w:val="18"/>
        </w:rPr>
      </w:pPr>
    </w:p>
    <w:p w:rsidR="004C65DA" w:rsidRPr="00037AF5" w:rsidRDefault="004C65DA" w:rsidP="004C65DA">
      <w:pPr>
        <w:pStyle w:val="EYBodytextwithparaspace"/>
        <w:spacing w:after="0"/>
        <w:rPr>
          <w:rFonts w:cs="Arial"/>
          <w:sz w:val="18"/>
          <w:szCs w:val="18"/>
        </w:rPr>
      </w:pPr>
      <w:r w:rsidRPr="00037AF5">
        <w:rPr>
          <w:sz w:val="18"/>
        </w:rPr>
        <w:t xml:space="preserve">В настоящем исследовании компании были разделены на крупные фармацевтические компании, специализированные/выпускающие </w:t>
      </w:r>
      <w:r w:rsidR="007414E2" w:rsidRPr="00037AF5">
        <w:rPr>
          <w:sz w:val="18"/>
        </w:rPr>
        <w:t xml:space="preserve">непатентованные </w:t>
      </w:r>
      <w:r w:rsidRPr="00037AF5">
        <w:rPr>
          <w:sz w:val="18"/>
        </w:rPr>
        <w:t xml:space="preserve">лекарственные средства предприятия и крупные </w:t>
      </w:r>
      <w:r w:rsidRPr="00037AF5">
        <w:rPr>
          <w:sz w:val="18"/>
        </w:rPr>
        <w:lastRenderedPageBreak/>
        <w:t xml:space="preserve">биотехнологические предприятия на основании размера, географического охвата и продуктового </w:t>
      </w:r>
      <w:r w:rsidR="0031417A" w:rsidRPr="00037AF5">
        <w:rPr>
          <w:sz w:val="18"/>
        </w:rPr>
        <w:t>портфеля</w:t>
      </w:r>
      <w:r w:rsidRPr="00037AF5">
        <w:rPr>
          <w:sz w:val="18"/>
        </w:rPr>
        <w:t xml:space="preserve">.  В настоящем исследовании проанализирована деятельность 17 крупных фармкомпаний, 10 специализированных/выпускающих </w:t>
      </w:r>
      <w:r w:rsidR="00E76DF6" w:rsidRPr="00037AF5">
        <w:rPr>
          <w:sz w:val="18"/>
        </w:rPr>
        <w:t xml:space="preserve">непатентованные </w:t>
      </w:r>
      <w:r w:rsidRPr="00037AF5">
        <w:rPr>
          <w:sz w:val="18"/>
        </w:rPr>
        <w:t>лекарственные средства предприятий и 11 биотехнологических предприятий.</w:t>
      </w:r>
    </w:p>
    <w:p w:rsidR="004C65DA" w:rsidRPr="00037AF5" w:rsidRDefault="004C65DA" w:rsidP="004C65DA">
      <w:pPr>
        <w:pStyle w:val="EYBodytextwithparaspace"/>
        <w:spacing w:after="0"/>
        <w:rPr>
          <w:rFonts w:cs="Arial"/>
          <w:sz w:val="18"/>
          <w:szCs w:val="18"/>
        </w:rPr>
      </w:pPr>
    </w:p>
    <w:p w:rsidR="004C65DA" w:rsidRPr="00037AF5" w:rsidRDefault="00CB6FE0" w:rsidP="004C65DA">
      <w:pPr>
        <w:pStyle w:val="EYBodytextwithparaspace"/>
        <w:spacing w:after="0"/>
        <w:rPr>
          <w:rFonts w:cs="Arial"/>
          <w:sz w:val="18"/>
          <w:szCs w:val="18"/>
        </w:rPr>
      </w:pPr>
      <w:hyperlink r:id="rId14">
        <w:r w:rsidR="0029302D" w:rsidRPr="00037AF5">
          <w:rPr>
            <w:rStyle w:val="Hyperlink"/>
            <w:sz w:val="18"/>
          </w:rPr>
          <w:t>ey.com/firepowerindex</w:t>
        </w:r>
      </w:hyperlink>
      <w:r w:rsidR="0029302D" w:rsidRPr="00037AF5">
        <w:rPr>
          <w:sz w:val="18"/>
        </w:rPr>
        <w:t xml:space="preserve"> </w:t>
      </w:r>
    </w:p>
    <w:p w:rsidR="004C65DA" w:rsidRPr="00037AF5" w:rsidRDefault="004C65DA" w:rsidP="00057116">
      <w:pPr>
        <w:pStyle w:val="EYBodytextwithparaspace"/>
        <w:spacing w:after="0"/>
        <w:rPr>
          <w:rFonts w:cs="Arial"/>
          <w:b/>
          <w:sz w:val="18"/>
          <w:szCs w:val="18"/>
        </w:rPr>
      </w:pPr>
    </w:p>
    <w:p w:rsidR="00057116" w:rsidRPr="00037AF5" w:rsidRDefault="00D37438" w:rsidP="00060AE0">
      <w:pPr>
        <w:pStyle w:val="EYBodytextwithparaspace"/>
        <w:spacing w:after="0"/>
        <w:rPr>
          <w:rFonts w:cs="Arial"/>
          <w:b/>
          <w:sz w:val="18"/>
          <w:szCs w:val="18"/>
        </w:rPr>
      </w:pPr>
      <w:r w:rsidRPr="00037AF5">
        <w:rPr>
          <w:b/>
          <w:sz w:val="18"/>
          <w:szCs w:val="18"/>
        </w:rPr>
        <w:t>О Международном центре EY по оказанию услуг компаниям медико-биологической отрасли</w:t>
      </w:r>
    </w:p>
    <w:p w:rsidR="00A33ADA" w:rsidRPr="00037AF5" w:rsidRDefault="00057116" w:rsidP="005268ED">
      <w:pPr>
        <w:autoSpaceDE w:val="0"/>
        <w:autoSpaceDN w:val="0"/>
        <w:spacing w:line="360" w:lineRule="auto"/>
        <w:rPr>
          <w:rFonts w:cs="Arial"/>
          <w:sz w:val="18"/>
          <w:szCs w:val="18"/>
        </w:rPr>
      </w:pPr>
      <w:r w:rsidRPr="00037AF5">
        <w:rPr>
          <w:sz w:val="18"/>
          <w:szCs w:val="18"/>
        </w:rPr>
        <w:t xml:space="preserve">Все без исключения компании медико-биологической отрасли, начиная со стартапов и заканчивая крупными международными корпорациями, сталкиваются с новыми трудностями, обусловленными стремительными изменениями в системе организации здравоохранения. Надзор со стороны регулирующих органов усиливается, а требования к качеству услуг и продуктов постоянно растут. Большие данные и интеллектуальные технологии, которые сегодня имеются в распоряжении пациентов, заставляют участников отрасли в корне пересматривать свои подходы, уделяя первостепенное внимание прозрачности своей деятельности и удовлетворению запросов потребителей. С выходом на рынок здравоохранения игроков из других секторов налаживание продуктивного сотрудничества становится еще более сложной задачей. В сегодняшних непростых условиях участникам отрасли необходимо быть уверенными в жизнеспособности принятой ими модели ведения бизнеса и ее отдельных составляющих, начиная с разработки нового продукта и заканчивая выводом его на рынок. Наш Международный центр по оказанию услуг компаниям медико-биологической отрасли объединяет свыше 7000 специалистов в области аудита, налогообложения, сопровождения сделок и консультирования по всему миру для прогнозирования тенденций, определения их последствий и выработки рекомендаций по ведению деятельности в свете новых отраслевых задач. Мы готовы помочь вам в поиске оптимальных путей достижения успеха в новых условиях. </w:t>
      </w:r>
    </w:p>
    <w:p w:rsidR="00A33ADA" w:rsidRPr="00037AF5" w:rsidRDefault="00A33ADA" w:rsidP="005268ED">
      <w:pPr>
        <w:autoSpaceDE w:val="0"/>
        <w:autoSpaceDN w:val="0"/>
        <w:spacing w:line="360" w:lineRule="auto"/>
        <w:rPr>
          <w:rFonts w:cs="Arial"/>
          <w:sz w:val="18"/>
          <w:szCs w:val="18"/>
        </w:rPr>
      </w:pPr>
    </w:p>
    <w:p w:rsidR="002A2CC7" w:rsidRPr="00037AF5" w:rsidRDefault="00563DC4" w:rsidP="005268ED">
      <w:pPr>
        <w:autoSpaceDE w:val="0"/>
        <w:autoSpaceDN w:val="0"/>
        <w:spacing w:line="360" w:lineRule="auto"/>
        <w:rPr>
          <w:rFonts w:cs="Arial"/>
          <w:sz w:val="18"/>
          <w:szCs w:val="18"/>
        </w:rPr>
      </w:pPr>
      <w:r w:rsidRPr="00037AF5">
        <w:rPr>
          <w:sz w:val="18"/>
          <w:szCs w:val="18"/>
        </w:rPr>
        <w:t>Актуальная информация по ключевым вопросам бизнеса, которые влияют на деятельность компаний медико-биологической отрасли</w:t>
      </w:r>
      <w:r w:rsidR="00D04A84" w:rsidRPr="00037AF5">
        <w:rPr>
          <w:sz w:val="18"/>
          <w:szCs w:val="18"/>
        </w:rPr>
        <w:t>,</w:t>
      </w:r>
      <w:r w:rsidRPr="00037AF5">
        <w:rPr>
          <w:sz w:val="18"/>
          <w:szCs w:val="18"/>
        </w:rPr>
        <w:t xml:space="preserve"> представлена на сайте </w:t>
      </w:r>
      <w:hyperlink r:id="rId15">
        <w:r w:rsidRPr="00037AF5">
          <w:rPr>
            <w:rStyle w:val="Hyperlink"/>
            <w:sz w:val="18"/>
            <w:szCs w:val="18"/>
          </w:rPr>
          <w:t>ey.com/VitalSigns</w:t>
        </w:r>
      </w:hyperlink>
      <w:r w:rsidRPr="00037AF5">
        <w:rPr>
          <w:sz w:val="18"/>
          <w:szCs w:val="18"/>
        </w:rPr>
        <w:t xml:space="preserve">. Для получения более подробной информации о наших услугах см. </w:t>
      </w:r>
      <w:hyperlink r:id="rId16">
        <w:r w:rsidRPr="00037AF5">
          <w:rPr>
            <w:rStyle w:val="Hyperlink"/>
            <w:sz w:val="18"/>
            <w:szCs w:val="18"/>
          </w:rPr>
          <w:t>ey.com/lifesciences</w:t>
        </w:r>
      </w:hyperlink>
      <w:r w:rsidRPr="00037AF5">
        <w:rPr>
          <w:sz w:val="18"/>
          <w:szCs w:val="18"/>
        </w:rPr>
        <w:t xml:space="preserve"> или пишите на </w:t>
      </w:r>
      <w:hyperlink r:id="rId17">
        <w:r w:rsidRPr="00037AF5">
          <w:rPr>
            <w:sz w:val="18"/>
            <w:szCs w:val="18"/>
          </w:rPr>
          <w:t>global.lifesciences@ey.com</w:t>
        </w:r>
      </w:hyperlink>
      <w:r w:rsidRPr="00037AF5">
        <w:rPr>
          <w:sz w:val="18"/>
          <w:szCs w:val="18"/>
        </w:rPr>
        <w:t>. Twitter - @EY_LifeSciences.</w:t>
      </w:r>
    </w:p>
    <w:p w:rsidR="00057116" w:rsidRPr="00037AF5" w:rsidRDefault="00057116" w:rsidP="00057116">
      <w:pPr>
        <w:pStyle w:val="EYBodytextwithparaspace"/>
        <w:spacing w:after="0"/>
        <w:rPr>
          <w:sz w:val="18"/>
          <w:szCs w:val="18"/>
        </w:rPr>
      </w:pPr>
    </w:p>
    <w:sectPr w:rsidR="00057116" w:rsidRPr="00037AF5" w:rsidSect="00665A20">
      <w:headerReference w:type="default" r:id="rId18"/>
      <w:footerReference w:type="default" r:id="rId19"/>
      <w:headerReference w:type="first" r:id="rId20"/>
      <w:pgSz w:w="11907" w:h="16840" w:code="9"/>
      <w:pgMar w:top="2722" w:right="1282" w:bottom="936" w:left="1368" w:header="706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E0" w:rsidRDefault="00CB6FE0" w:rsidP="00322B29">
      <w:r>
        <w:separator/>
      </w:r>
    </w:p>
  </w:endnote>
  <w:endnote w:type="continuationSeparator" w:id="0">
    <w:p w:rsidR="00CB6FE0" w:rsidRDefault="00CB6FE0" w:rsidP="0032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">
    <w:panose1 w:val="02000503020000020004"/>
    <w:charset w:val="CC"/>
    <w:family w:val="auto"/>
    <w:pitch w:val="variable"/>
    <w:sig w:usb0="800002AF" w:usb1="5000204A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DA" w:rsidRDefault="00DF7498">
    <w:pPr>
      <w:pStyle w:val="Foot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10333355</wp:posOffset>
              </wp:positionV>
              <wp:extent cx="1714500" cy="1143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1DA" w:rsidRPr="00195C92" w:rsidRDefault="00CB6FE0" w:rsidP="008E21DA">
                          <w:pPr>
                            <w:pStyle w:val="EYFooterinf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813.65pt;width:13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MOrQIAALA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" filled="f" stroked="f">
              <v:textbox inset="0,0,0,0">
                <w:txbxContent>
                  <w:p w:rsidR="008E21DA" w:rsidRPr="00195C92" w:rsidRDefault="004D112C" w:rsidP="008E21DA">
                    <w:pPr>
                      <w:pStyle w:val="EYFooterinfo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E0" w:rsidRDefault="00CB6FE0" w:rsidP="00322B29">
      <w:r>
        <w:separator/>
      </w:r>
    </w:p>
  </w:footnote>
  <w:footnote w:type="continuationSeparator" w:id="0">
    <w:p w:rsidR="00CB6FE0" w:rsidRDefault="00CB6FE0" w:rsidP="00322B29">
      <w:r>
        <w:continuationSeparator/>
      </w:r>
    </w:p>
  </w:footnote>
  <w:footnote w:id="1">
    <w:p w:rsidR="00057116" w:rsidRDefault="000571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</w:rPr>
        <w:t>Разрыв в росте определяется как разница между прогнозируемым ростом объемов продаж компании фармацевтической отрасли либо подотрасли (например, крупной фармацевтической компании) и общим показателем объемов продаж на рынке лекарственных препаратов по данным прогноза IMS Health для глобальных рынков по состоянию на 31 октября 2015 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53" w:rsidRDefault="006B05F1" w:rsidP="00FC6AEB"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ECDBBF" wp14:editId="7EB6FB2F">
              <wp:simplePos x="0" y="0"/>
              <wp:positionH relativeFrom="page">
                <wp:posOffset>5422900</wp:posOffset>
              </wp:positionH>
              <wp:positionV relativeFrom="page">
                <wp:posOffset>612775</wp:posOffset>
              </wp:positionV>
              <wp:extent cx="1800225" cy="617855"/>
              <wp:effectExtent l="0" t="0" r="9525" b="1079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5F1" w:rsidRPr="006B05F1" w:rsidRDefault="006B05F1" w:rsidP="006B05F1">
                          <w:pPr>
                            <w:pStyle w:val="EYContinuationheader"/>
                            <w:spacing w:line="360" w:lineRule="auto"/>
                            <w:jc w:val="right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 w:rsidRPr="006B05F1">
                            <w:rPr>
                              <w:sz w:val="22"/>
                              <w:szCs w:val="22"/>
                              <w:lang w:val="en-US"/>
                            </w:rPr>
                            <w:t>EY</w:t>
                          </w:r>
                        </w:p>
                        <w:p w:rsidR="002C3F79" w:rsidRPr="00035B75" w:rsidRDefault="00322B29" w:rsidP="006B05F1">
                          <w:pPr>
                            <w:pStyle w:val="EYContinuationheader"/>
                            <w:spacing w:line="360" w:lineRule="auto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035B75">
                            <w:rPr>
                              <w:sz w:val="22"/>
                              <w:szCs w:val="22"/>
                            </w:rPr>
                            <w:t>Стр</w:t>
                          </w:r>
                          <w:r w:rsidR="006B05F1" w:rsidRPr="00035B75">
                            <w:rPr>
                              <w:sz w:val="22"/>
                              <w:szCs w:val="22"/>
                            </w:rPr>
                            <w:t xml:space="preserve">аница </w:t>
                          </w:r>
                          <w:r w:rsidR="00BC2129" w:rsidRPr="00035B75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35B75">
                            <w:rPr>
                              <w:sz w:val="22"/>
                              <w:szCs w:val="22"/>
                            </w:rPr>
                            <w:instrText xml:space="preserve"> PAGE  \* Arabic  \* MERGEFORMAT </w:instrText>
                          </w:r>
                          <w:r w:rsidR="00BC2129" w:rsidRPr="00035B75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92324">
                            <w:rPr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 w:rsidR="00BC2129" w:rsidRPr="00035B75"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27pt;margin-top:48.25pt;width:141.75pt;height:48.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bTrg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" filled="f" stroked="f">
              <v:textbox inset="0,0,0,0">
                <w:txbxContent>
                  <w:p w:rsidR="006B05F1" w:rsidRPr="006B05F1" w:rsidRDefault="006B05F1" w:rsidP="006B05F1">
                    <w:pPr>
                      <w:pStyle w:val="EYContinuationheader"/>
                      <w:spacing w:line="360" w:lineRule="auto"/>
                      <w:jc w:val="right"/>
                      <w:rPr>
                        <w:sz w:val="22"/>
                        <w:szCs w:val="22"/>
                        <w:lang w:val="en-US"/>
                      </w:rPr>
                    </w:pPr>
                    <w:r w:rsidRPr="006B05F1">
                      <w:rPr>
                        <w:sz w:val="22"/>
                        <w:szCs w:val="22"/>
                        <w:lang w:val="en-US"/>
                      </w:rPr>
                      <w:t>EY</w:t>
                    </w:r>
                  </w:p>
                  <w:p w:rsidR="002C3F79" w:rsidRPr="00035B75" w:rsidRDefault="00322B29" w:rsidP="006B05F1">
                    <w:pPr>
                      <w:pStyle w:val="EYContinuationheader"/>
                      <w:spacing w:line="360" w:lineRule="auto"/>
                      <w:jc w:val="right"/>
                      <w:rPr>
                        <w:sz w:val="22"/>
                        <w:szCs w:val="22"/>
                      </w:rPr>
                    </w:pPr>
                    <w:r w:rsidRPr="00035B75">
                      <w:rPr>
                        <w:sz w:val="22"/>
                        <w:szCs w:val="22"/>
                      </w:rPr>
                      <w:t>Стр</w:t>
                    </w:r>
                    <w:r w:rsidR="006B05F1" w:rsidRPr="00035B75">
                      <w:rPr>
                        <w:sz w:val="22"/>
                        <w:szCs w:val="22"/>
                      </w:rPr>
                      <w:t xml:space="preserve">аница </w:t>
                    </w:r>
                    <w:r w:rsidR="00BC2129" w:rsidRPr="00035B75">
                      <w:rPr>
                        <w:sz w:val="22"/>
                        <w:szCs w:val="22"/>
                      </w:rPr>
                      <w:fldChar w:fldCharType="begin"/>
                    </w:r>
                    <w:r w:rsidRPr="00035B75">
                      <w:rPr>
                        <w:sz w:val="22"/>
                        <w:szCs w:val="22"/>
                      </w:rPr>
                      <w:instrText xml:space="preserve"> PAGE  \* Arabic  \* MERGEFORMAT </w:instrText>
                    </w:r>
                    <w:r w:rsidR="00BC2129" w:rsidRPr="00035B75">
                      <w:rPr>
                        <w:sz w:val="22"/>
                        <w:szCs w:val="22"/>
                      </w:rPr>
                      <w:fldChar w:fldCharType="separate"/>
                    </w:r>
                    <w:r w:rsidR="00292324">
                      <w:rPr>
                        <w:noProof/>
                        <w:sz w:val="22"/>
                        <w:szCs w:val="22"/>
                      </w:rPr>
                      <w:t>6</w:t>
                    </w:r>
                    <w:r w:rsidR="00BC2129" w:rsidRPr="00035B75"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US" w:eastAsia="en-US" w:bidi="ar-SA"/>
      </w:rPr>
      <w:drawing>
        <wp:anchor distT="0" distB="0" distL="114300" distR="114300" simplePos="0" relativeHeight="251660800" behindDoc="1" locked="1" layoutInCell="1" allowOverlap="1" wp14:anchorId="46CE1210" wp14:editId="6A97B98B">
          <wp:simplePos x="0" y="0"/>
          <wp:positionH relativeFrom="page">
            <wp:posOffset>897255</wp:posOffset>
          </wp:positionH>
          <wp:positionV relativeFrom="page">
            <wp:posOffset>435610</wp:posOffset>
          </wp:positionV>
          <wp:extent cx="1223645" cy="1028700"/>
          <wp:effectExtent l="0" t="0" r="0" b="0"/>
          <wp:wrapNone/>
          <wp:docPr id="6" name="Picture 0" descr="EY_Logo_Beam_Tag_Stacked_RGB_RU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_Logo_Beam_Tag_Stacked_RGB_RUS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64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EB" w:rsidRDefault="00C025B4">
    <w:pPr>
      <w:pStyle w:val="Header"/>
    </w:pPr>
    <w:r w:rsidRPr="009C406C">
      <w:rPr>
        <w:rFonts w:ascii="Times New Roman" w:hAnsi="Times New Roman"/>
        <w:noProof/>
        <w:sz w:val="24"/>
        <w:lang w:val="en-US" w:eastAsia="en-US" w:bidi="ar-SA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8AD86B9" wp14:editId="041627B9">
              <wp:simplePos x="0" y="0"/>
              <wp:positionH relativeFrom="page">
                <wp:posOffset>2672715</wp:posOffset>
              </wp:positionH>
              <wp:positionV relativeFrom="page">
                <wp:posOffset>640715</wp:posOffset>
              </wp:positionV>
              <wp:extent cx="3962400" cy="1079500"/>
              <wp:effectExtent l="0" t="0" r="0" b="635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68"/>
                            <w:gridCol w:w="284"/>
                            <w:gridCol w:w="2551"/>
                          </w:tblGrid>
                          <w:tr w:rsidR="00C025B4" w:rsidTr="00764638">
                            <w:tc>
                              <w:tcPr>
                                <w:tcW w:w="2268" w:type="dxa"/>
                                <w:shd w:val="clear" w:color="auto" w:fill="auto"/>
                              </w:tcPr>
                              <w:tbl>
                                <w:tblPr>
                                  <w:tblW w:w="2552" w:type="dxa"/>
                                  <w:tblLayout w:type="fixed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2552"/>
                                </w:tblGrid>
                                <w:tr w:rsidR="00C025B4" w:rsidRPr="00292324" w:rsidTr="00764638">
                                  <w:tc>
                                    <w:tcPr>
                                      <w:tcW w:w="2552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C025B4" w:rsidRPr="00FB4325" w:rsidRDefault="00C025B4" w:rsidP="00764638">
                                      <w:pPr>
                                        <w:pStyle w:val="Legalentityname"/>
                                        <w:rPr>
                                          <w:b w:val="0"/>
                                          <w:lang w:val="en-US"/>
                                        </w:rPr>
                                      </w:pPr>
                                      <w:r w:rsidRPr="00FB4325">
                                        <w:rPr>
                                          <w:b w:val="0"/>
                                          <w:lang w:val="en-US"/>
                                        </w:rPr>
                                        <w:t>Ernst &amp; Young LLC</w:t>
                                      </w:r>
                                    </w:p>
                                    <w:p w:rsidR="00C025B4" w:rsidRDefault="00C025B4" w:rsidP="00764638">
                                      <w:pPr>
                                        <w:pStyle w:val="address"/>
                                      </w:pPr>
                                      <w:r w:rsidRPr="00D81A8D">
                                        <w:t>Sadovnicheskaya Nab., 77, bld. 1</w:t>
                                      </w:r>
                                      <w:r w:rsidRPr="00D81A8D">
                                        <w:br/>
                                        <w:t>Moscow, 115035, Russia</w:t>
                                      </w:r>
                                    </w:p>
                                    <w:p w:rsidR="00C025B4" w:rsidRPr="00D81A8D" w:rsidRDefault="00C025B4" w:rsidP="00764638">
                                      <w:pPr>
                                        <w:pStyle w:val="address"/>
                                        <w:tabs>
                                          <w:tab w:val="left" w:pos="350"/>
                                        </w:tabs>
                                      </w:pPr>
                                      <w:r w:rsidRPr="00D81A8D">
                                        <w:t>Tel:</w:t>
                                      </w:r>
                                      <w:r w:rsidRPr="00D81A8D">
                                        <w:tab/>
                                        <w:t>+7 (495) 705 9700</w:t>
                                      </w:r>
                                      <w:r w:rsidRPr="00D81A8D">
                                        <w:br/>
                                      </w:r>
                                      <w:r w:rsidRPr="00D81A8D">
                                        <w:tab/>
                                        <w:t>+7 (495) 755 9700</w:t>
                                      </w:r>
                                      <w:r w:rsidRPr="00D81A8D">
                                        <w:br/>
                                        <w:t>Fax:</w:t>
                                      </w:r>
                                      <w:r w:rsidRPr="00D81A8D">
                                        <w:tab/>
                                        <w:t>+7 (495) 755 9701</w:t>
                                      </w:r>
                                      <w:r w:rsidRPr="00D81A8D">
                                        <w:br/>
                                      </w:r>
                                      <w:hyperlink r:id="rId1" w:history="1">
                                        <w:r w:rsidRPr="00D81A8D">
                                          <w:t>www.ey.com/ru</w:t>
                                        </w:r>
                                      </w:hyperlink>
                                    </w:p>
                                  </w:tc>
                                </w:tr>
                                <w:tr w:rsidR="00C025B4" w:rsidRPr="00292324" w:rsidTr="00764638">
                                  <w:trPr>
                                    <w:trHeight w:hRule="exact" w:val="80"/>
                                  </w:trPr>
                                  <w:tc>
                                    <w:tcPr>
                                      <w:tcW w:w="2552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C025B4" w:rsidRPr="00FB4325" w:rsidRDefault="00C025B4" w:rsidP="00764638">
                                      <w:pPr>
                                        <w:pStyle w:val="EYBusinessaddress"/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C025B4" w:rsidRPr="00D81A8D" w:rsidRDefault="00C025B4" w:rsidP="00764638">
                                <w:pPr>
                                  <w:pStyle w:val="address"/>
                                  <w:tabs>
                                    <w:tab w:val="left" w:pos="426"/>
                                  </w:tabs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shd w:val="clear" w:color="auto" w:fill="auto"/>
                              </w:tcPr>
                              <w:p w:rsidR="00C025B4" w:rsidRPr="00FB4325" w:rsidRDefault="00C025B4" w:rsidP="00764638">
                                <w:pPr>
                                  <w:pStyle w:val="EYBusinessaddress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tbl>
                                <w:tblPr>
                                  <w:tblW w:w="0" w:type="auto"/>
                                  <w:tblLayout w:type="fixed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2715"/>
                                </w:tblGrid>
                                <w:tr w:rsidR="00C025B4" w:rsidRPr="00D81A8D" w:rsidTr="00764638">
                                  <w:tc>
                                    <w:tcPr>
                                      <w:tcW w:w="2715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C025B4" w:rsidRPr="00D81A8D" w:rsidRDefault="00C025B4" w:rsidP="00764638">
                                      <w:pPr>
                                        <w:pStyle w:val="Legalentityname"/>
                                        <w:rPr>
                                          <w:b w:val="0"/>
                                        </w:rPr>
                                      </w:pPr>
                                      <w:r w:rsidRPr="00D81A8D">
                                        <w:rPr>
                                          <w:b w:val="0"/>
                                        </w:rPr>
                                        <w:t>ООО «Эрнст энд Янг»</w:t>
                                      </w:r>
                                    </w:p>
                                    <w:p w:rsidR="00C025B4" w:rsidRPr="006726C4" w:rsidRDefault="00C025B4" w:rsidP="00764638">
                                      <w:pPr>
                                        <w:pStyle w:val="address"/>
                                        <w:rPr>
                                          <w:lang w:val="ru-RU"/>
                                        </w:rPr>
                                      </w:pPr>
                                      <w:r w:rsidRPr="006726C4">
                                        <w:rPr>
                                          <w:lang w:val="ru-RU"/>
                                        </w:rPr>
                                        <w:t xml:space="preserve">Россия, 115035, Москва </w:t>
                                      </w:r>
                                      <w:r w:rsidRPr="006726C4">
                                        <w:rPr>
                                          <w:lang w:val="ru-RU"/>
                                        </w:rPr>
                                        <w:br/>
                                        <w:t>Садовническая наб., 77, стр. 1</w:t>
                                      </w:r>
                                    </w:p>
                                    <w:p w:rsidR="00C025B4" w:rsidRPr="00D81A8D" w:rsidRDefault="00C025B4" w:rsidP="00764638">
                                      <w:pPr>
                                        <w:pStyle w:val="address"/>
                                        <w:tabs>
                                          <w:tab w:val="left" w:pos="518"/>
                                        </w:tabs>
                                      </w:pPr>
                                      <w:r w:rsidRPr="00D81A8D">
                                        <w:t>Тел.:</w:t>
                                      </w:r>
                                      <w:r w:rsidRPr="00D81A8D">
                                        <w:tab/>
                                        <w:t>+7 (495) 705 9700</w:t>
                                      </w:r>
                                      <w:r w:rsidRPr="00D81A8D">
                                        <w:br/>
                                      </w:r>
                                      <w:r w:rsidRPr="00D81A8D">
                                        <w:tab/>
                                        <w:t>+7 (495) 755 9700</w:t>
                                      </w:r>
                                      <w:r w:rsidRPr="00D81A8D">
                                        <w:br/>
                                        <w:t>Факс:</w:t>
                                      </w:r>
                                      <w:r w:rsidRPr="00D81A8D">
                                        <w:tab/>
                                        <w:t>+7 (495) 755 9701</w:t>
                                      </w:r>
                                      <w:r w:rsidRPr="00D81A8D">
                                        <w:br/>
                                        <w:t>ОКПО:</w:t>
                                      </w:r>
                                      <w:r w:rsidRPr="00D81A8D">
                                        <w:tab/>
                                        <w:t>59002827</w:t>
                                      </w:r>
                                    </w:p>
                                  </w:tc>
                                </w:tr>
                                <w:tr w:rsidR="00C025B4" w:rsidRPr="00D81A8D" w:rsidTr="00764638">
                                  <w:trPr>
                                    <w:trHeight w:hRule="exact" w:val="80"/>
                                  </w:trPr>
                                  <w:tc>
                                    <w:tcPr>
                                      <w:tcW w:w="2715" w:type="dxa"/>
                                      <w:shd w:val="clear" w:color="auto" w:fill="auto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C025B4" w:rsidRPr="00D81A8D" w:rsidRDefault="00C025B4" w:rsidP="00764638">
                                      <w:pPr>
                                        <w:pStyle w:val="EYBusinessaddress"/>
                                      </w:pPr>
                                    </w:p>
                                  </w:tc>
                                </w:tr>
                              </w:tbl>
                              <w:p w:rsidR="00C025B4" w:rsidRPr="00D81A8D" w:rsidRDefault="00C025B4" w:rsidP="00764638">
                                <w:pPr>
                                  <w:pStyle w:val="EYBusinessaddress"/>
                                </w:pPr>
                              </w:p>
                            </w:tc>
                          </w:tr>
                        </w:tbl>
                        <w:p w:rsidR="00C025B4" w:rsidRPr="00EB222E" w:rsidRDefault="00C025B4" w:rsidP="00C025B4">
                          <w:pPr>
                            <w:pStyle w:val="EYBusinessaddres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0.45pt;margin-top:50.45pt;width:312pt;height: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WUrwIAALE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68"/>
                      <w:gridCol w:w="284"/>
                      <w:gridCol w:w="2551"/>
                    </w:tblGrid>
                    <w:tr w:rsidR="00C025B4" w:rsidTr="00764638">
                      <w:tc>
                        <w:tcPr>
                          <w:tcW w:w="2268" w:type="dxa"/>
                          <w:shd w:val="clear" w:color="auto" w:fill="auto"/>
                        </w:tcPr>
                        <w:tbl>
                          <w:tblPr>
                            <w:tblW w:w="2552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52"/>
                          </w:tblGrid>
                          <w:tr w:rsidR="00C025B4" w:rsidRPr="00292324" w:rsidTr="00764638">
                            <w:tc>
                              <w:tcPr>
                                <w:tcW w:w="2552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C025B4" w:rsidRPr="00FB4325" w:rsidRDefault="00C025B4" w:rsidP="00764638">
                                <w:pPr>
                                  <w:pStyle w:val="Legalentityname"/>
                                  <w:rPr>
                                    <w:b w:val="0"/>
                                    <w:lang w:val="en-US"/>
                                  </w:rPr>
                                </w:pPr>
                                <w:r w:rsidRPr="00FB4325">
                                  <w:rPr>
                                    <w:b w:val="0"/>
                                    <w:lang w:val="en-US"/>
                                  </w:rPr>
                                  <w:t>Ernst &amp; Young LLC</w:t>
                                </w:r>
                              </w:p>
                              <w:p w:rsidR="00C025B4" w:rsidRDefault="00C025B4" w:rsidP="00764638">
                                <w:pPr>
                                  <w:pStyle w:val="address"/>
                                </w:pPr>
                                <w:r w:rsidRPr="00D81A8D">
                                  <w:t>Sadovnicheskaya Nab., 77, bld. 1</w:t>
                                </w:r>
                                <w:r w:rsidRPr="00D81A8D">
                                  <w:br/>
                                  <w:t>Moscow, 115035, Russia</w:t>
                                </w:r>
                              </w:p>
                              <w:p w:rsidR="00C025B4" w:rsidRPr="00D81A8D" w:rsidRDefault="00C025B4" w:rsidP="00764638">
                                <w:pPr>
                                  <w:pStyle w:val="address"/>
                                  <w:tabs>
                                    <w:tab w:val="left" w:pos="350"/>
                                  </w:tabs>
                                </w:pPr>
                                <w:r w:rsidRPr="00D81A8D">
                                  <w:t>Tel:</w:t>
                                </w:r>
                                <w:r w:rsidRPr="00D81A8D">
                                  <w:tab/>
                                  <w:t>+7 (495) 705 9700</w:t>
                                </w:r>
                                <w:r w:rsidRPr="00D81A8D">
                                  <w:br/>
                                </w:r>
                                <w:r w:rsidRPr="00D81A8D">
                                  <w:tab/>
                                  <w:t>+7 (495) 755 9700</w:t>
                                </w:r>
                                <w:r w:rsidRPr="00D81A8D">
                                  <w:br/>
                                  <w:t>Fax:</w:t>
                                </w:r>
                                <w:r w:rsidRPr="00D81A8D">
                                  <w:tab/>
                                  <w:t>+7 (495) 755 9701</w:t>
                                </w:r>
                                <w:r w:rsidRPr="00D81A8D">
                                  <w:br/>
                                </w:r>
                                <w:hyperlink r:id="rId2" w:history="1">
                                  <w:r w:rsidRPr="00D81A8D">
                                    <w:t>www.ey.com/ru</w:t>
                                  </w:r>
                                </w:hyperlink>
                              </w:p>
                            </w:tc>
                          </w:tr>
                          <w:tr w:rsidR="00C025B4" w:rsidRPr="00292324" w:rsidTr="00764638">
                            <w:trPr>
                              <w:trHeight w:hRule="exact" w:val="80"/>
                            </w:trPr>
                            <w:tc>
                              <w:tcPr>
                                <w:tcW w:w="2552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C025B4" w:rsidRPr="00FB4325" w:rsidRDefault="00C025B4" w:rsidP="00764638">
                                <w:pPr>
                                  <w:pStyle w:val="EYBusinessaddress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:rsidR="00C025B4" w:rsidRPr="00D81A8D" w:rsidRDefault="00C025B4" w:rsidP="00764638">
                          <w:pPr>
                            <w:pStyle w:val="address"/>
                            <w:tabs>
                              <w:tab w:val="left" w:pos="426"/>
                            </w:tabs>
                          </w:pPr>
                        </w:p>
                      </w:tc>
                      <w:tc>
                        <w:tcPr>
                          <w:tcW w:w="284" w:type="dxa"/>
                          <w:shd w:val="clear" w:color="auto" w:fill="auto"/>
                        </w:tcPr>
                        <w:p w:rsidR="00C025B4" w:rsidRPr="00FB4325" w:rsidRDefault="00C025B4" w:rsidP="00764638">
                          <w:pPr>
                            <w:pStyle w:val="EYBusinessaddress"/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tbl>
                          <w:tblPr>
                            <w:tblW w:w="0" w:type="auto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715"/>
                          </w:tblGrid>
                          <w:tr w:rsidR="00C025B4" w:rsidRPr="00D81A8D" w:rsidTr="00764638">
                            <w:tc>
                              <w:tcPr>
                                <w:tcW w:w="2715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C025B4" w:rsidRPr="00D81A8D" w:rsidRDefault="00C025B4" w:rsidP="00764638">
                                <w:pPr>
                                  <w:pStyle w:val="Legalentityname"/>
                                  <w:rPr>
                                    <w:b w:val="0"/>
                                  </w:rPr>
                                </w:pPr>
                                <w:r w:rsidRPr="00D81A8D">
                                  <w:rPr>
                                    <w:b w:val="0"/>
                                  </w:rPr>
                                  <w:t>ООО «Эрнст энд Янг»</w:t>
                                </w:r>
                              </w:p>
                              <w:p w:rsidR="00C025B4" w:rsidRPr="006726C4" w:rsidRDefault="00C025B4" w:rsidP="00764638">
                                <w:pPr>
                                  <w:pStyle w:val="address"/>
                                  <w:rPr>
                                    <w:lang w:val="ru-RU"/>
                                  </w:rPr>
                                </w:pPr>
                                <w:r w:rsidRPr="006726C4">
                                  <w:rPr>
                                    <w:lang w:val="ru-RU"/>
                                  </w:rPr>
                                  <w:t xml:space="preserve">Россия, 115035, Москва </w:t>
                                </w:r>
                                <w:r w:rsidRPr="006726C4">
                                  <w:rPr>
                                    <w:lang w:val="ru-RU"/>
                                  </w:rPr>
                                  <w:br/>
                                  <w:t>Садовническая наб., 77, стр. 1</w:t>
                                </w:r>
                              </w:p>
                              <w:p w:rsidR="00C025B4" w:rsidRPr="00D81A8D" w:rsidRDefault="00C025B4" w:rsidP="00764638">
                                <w:pPr>
                                  <w:pStyle w:val="address"/>
                                  <w:tabs>
                                    <w:tab w:val="left" w:pos="518"/>
                                  </w:tabs>
                                </w:pPr>
                                <w:r w:rsidRPr="00D81A8D">
                                  <w:t>Тел.:</w:t>
                                </w:r>
                                <w:r w:rsidRPr="00D81A8D">
                                  <w:tab/>
                                  <w:t>+7 (495) 705 9700</w:t>
                                </w:r>
                                <w:r w:rsidRPr="00D81A8D">
                                  <w:br/>
                                </w:r>
                                <w:r w:rsidRPr="00D81A8D">
                                  <w:tab/>
                                  <w:t>+7 (495) 755 9700</w:t>
                                </w:r>
                                <w:r w:rsidRPr="00D81A8D">
                                  <w:br/>
                                  <w:t>Факс:</w:t>
                                </w:r>
                                <w:r w:rsidRPr="00D81A8D">
                                  <w:tab/>
                                  <w:t>+7 (495) 755 9701</w:t>
                                </w:r>
                                <w:r w:rsidRPr="00D81A8D">
                                  <w:br/>
                                  <w:t>ОКПО:</w:t>
                                </w:r>
                                <w:r w:rsidRPr="00D81A8D">
                                  <w:tab/>
                                  <w:t>59002827</w:t>
                                </w:r>
                              </w:p>
                            </w:tc>
                          </w:tr>
                          <w:tr w:rsidR="00C025B4" w:rsidRPr="00D81A8D" w:rsidTr="00764638">
                            <w:trPr>
                              <w:trHeight w:hRule="exact" w:val="80"/>
                            </w:trPr>
                            <w:tc>
                              <w:tcPr>
                                <w:tcW w:w="2715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C025B4" w:rsidRPr="00D81A8D" w:rsidRDefault="00C025B4" w:rsidP="00764638">
                                <w:pPr>
                                  <w:pStyle w:val="EYBusinessaddress"/>
                                </w:pPr>
                              </w:p>
                            </w:tc>
                          </w:tr>
                        </w:tbl>
                        <w:p w:rsidR="00C025B4" w:rsidRPr="00D81A8D" w:rsidRDefault="00C025B4" w:rsidP="00764638">
                          <w:pPr>
                            <w:pStyle w:val="EYBusinessaddress"/>
                          </w:pPr>
                        </w:p>
                      </w:tc>
                    </w:tr>
                  </w:tbl>
                  <w:p w:rsidR="00C025B4" w:rsidRPr="00EB222E" w:rsidRDefault="00C025B4" w:rsidP="00C025B4">
                    <w:pPr>
                      <w:pStyle w:val="EYBusinessaddress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val="en-US" w:eastAsia="en-US" w:bidi="ar-SA"/>
      </w:rPr>
      <w:drawing>
        <wp:anchor distT="0" distB="0" distL="114300" distR="114300" simplePos="0" relativeHeight="251657728" behindDoc="1" locked="1" layoutInCell="1" allowOverlap="1" wp14:anchorId="79E61611" wp14:editId="0AE98A62">
          <wp:simplePos x="0" y="0"/>
          <wp:positionH relativeFrom="page">
            <wp:posOffset>868680</wp:posOffset>
          </wp:positionH>
          <wp:positionV relativeFrom="page">
            <wp:posOffset>343535</wp:posOffset>
          </wp:positionV>
          <wp:extent cx="1223645" cy="1028700"/>
          <wp:effectExtent l="0" t="0" r="0" b="0"/>
          <wp:wrapNone/>
          <wp:docPr id="3" name="Picture 0" descr="EY_Logo_Beam_Tag_Stacked_RGB_RU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_Logo_Beam_Tag_Stacked_RGB_RUS.wm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2364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2A"/>
    <w:multiLevelType w:val="hybridMultilevel"/>
    <w:tmpl w:val="E376A622"/>
    <w:lvl w:ilvl="0" w:tplc="AB06A94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E0432"/>
    <w:multiLevelType w:val="hybridMultilevel"/>
    <w:tmpl w:val="67B2A610"/>
    <w:lvl w:ilvl="0" w:tplc="A5120EE4">
      <w:start w:val="2"/>
      <w:numFmt w:val="bullet"/>
      <w:lvlText w:val=""/>
      <w:lvlJc w:val="left"/>
      <w:pPr>
        <w:ind w:left="720" w:hanging="360"/>
      </w:pPr>
      <w:rPr>
        <w:rFonts w:ascii="Wingdings 3" w:eastAsia="Times New Roman" w:hAnsi="Wingdings 3" w:cs="Times New Roman" w:hint="default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7416E"/>
    <w:multiLevelType w:val="hybridMultilevel"/>
    <w:tmpl w:val="CC7C5AF8"/>
    <w:lvl w:ilvl="0" w:tplc="AB06A94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5569E"/>
    <w:multiLevelType w:val="hybridMultilevel"/>
    <w:tmpl w:val="39C23C88"/>
    <w:lvl w:ilvl="0" w:tplc="AB06A94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666EA"/>
    <w:multiLevelType w:val="hybridMultilevel"/>
    <w:tmpl w:val="D3201EB0"/>
    <w:lvl w:ilvl="0" w:tplc="AB06A94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1EBA"/>
    <w:multiLevelType w:val="hybridMultilevel"/>
    <w:tmpl w:val="385686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12913"/>
    <w:multiLevelType w:val="hybridMultilevel"/>
    <w:tmpl w:val="61A68C3E"/>
    <w:lvl w:ilvl="0" w:tplc="AF8877C0">
      <w:start w:val="1"/>
      <w:numFmt w:val="bullet"/>
      <w:pStyle w:val="EYBulletedtext1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0C7749"/>
    <w:multiLevelType w:val="hybridMultilevel"/>
    <w:tmpl w:val="1BF61F74"/>
    <w:lvl w:ilvl="0" w:tplc="AB06A94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29"/>
    <w:rsid w:val="00003864"/>
    <w:rsid w:val="000230D4"/>
    <w:rsid w:val="00031899"/>
    <w:rsid w:val="00035B75"/>
    <w:rsid w:val="0003678A"/>
    <w:rsid w:val="00037AF5"/>
    <w:rsid w:val="00057116"/>
    <w:rsid w:val="00060AE0"/>
    <w:rsid w:val="000B2F78"/>
    <w:rsid w:val="000B6DDF"/>
    <w:rsid w:val="000C18B9"/>
    <w:rsid w:val="000E3ABE"/>
    <w:rsid w:val="0011014D"/>
    <w:rsid w:val="00112A87"/>
    <w:rsid w:val="00126321"/>
    <w:rsid w:val="00136529"/>
    <w:rsid w:val="001600E6"/>
    <w:rsid w:val="001A62EB"/>
    <w:rsid w:val="001E04B9"/>
    <w:rsid w:val="001E0695"/>
    <w:rsid w:val="00202657"/>
    <w:rsid w:val="00292324"/>
    <w:rsid w:val="00292E08"/>
    <w:rsid w:val="00292F21"/>
    <w:rsid w:val="0029302D"/>
    <w:rsid w:val="002A2CC7"/>
    <w:rsid w:val="002B019B"/>
    <w:rsid w:val="002B3960"/>
    <w:rsid w:val="002B4423"/>
    <w:rsid w:val="002B559C"/>
    <w:rsid w:val="002D6E0B"/>
    <w:rsid w:val="002F5E2A"/>
    <w:rsid w:val="00304123"/>
    <w:rsid w:val="003130D3"/>
    <w:rsid w:val="0031417A"/>
    <w:rsid w:val="00322B29"/>
    <w:rsid w:val="003267D4"/>
    <w:rsid w:val="00331A88"/>
    <w:rsid w:val="00332230"/>
    <w:rsid w:val="00343ABA"/>
    <w:rsid w:val="00363BCF"/>
    <w:rsid w:val="0038592C"/>
    <w:rsid w:val="00396E9C"/>
    <w:rsid w:val="003B3E03"/>
    <w:rsid w:val="003B5EC8"/>
    <w:rsid w:val="004051A3"/>
    <w:rsid w:val="00407861"/>
    <w:rsid w:val="00407F57"/>
    <w:rsid w:val="00412201"/>
    <w:rsid w:val="00423384"/>
    <w:rsid w:val="00427E43"/>
    <w:rsid w:val="00433FD2"/>
    <w:rsid w:val="004435F3"/>
    <w:rsid w:val="004453D2"/>
    <w:rsid w:val="004564DC"/>
    <w:rsid w:val="004644B2"/>
    <w:rsid w:val="00473974"/>
    <w:rsid w:val="00474966"/>
    <w:rsid w:val="004C0E62"/>
    <w:rsid w:val="004C65DA"/>
    <w:rsid w:val="004D112C"/>
    <w:rsid w:val="004D52BE"/>
    <w:rsid w:val="0051109F"/>
    <w:rsid w:val="005135C7"/>
    <w:rsid w:val="005268ED"/>
    <w:rsid w:val="005626FE"/>
    <w:rsid w:val="00563DC4"/>
    <w:rsid w:val="00580AE6"/>
    <w:rsid w:val="00581DF5"/>
    <w:rsid w:val="00587790"/>
    <w:rsid w:val="005A367F"/>
    <w:rsid w:val="005D6FDA"/>
    <w:rsid w:val="005F4407"/>
    <w:rsid w:val="00604C14"/>
    <w:rsid w:val="0063611D"/>
    <w:rsid w:val="0065062B"/>
    <w:rsid w:val="006826C2"/>
    <w:rsid w:val="006961C8"/>
    <w:rsid w:val="006B05F1"/>
    <w:rsid w:val="006D0F52"/>
    <w:rsid w:val="006D71D4"/>
    <w:rsid w:val="006E5EAE"/>
    <w:rsid w:val="006E644F"/>
    <w:rsid w:val="006F1C92"/>
    <w:rsid w:val="00702034"/>
    <w:rsid w:val="007109D5"/>
    <w:rsid w:val="007154B7"/>
    <w:rsid w:val="00727075"/>
    <w:rsid w:val="0073670A"/>
    <w:rsid w:val="007414E2"/>
    <w:rsid w:val="00776E27"/>
    <w:rsid w:val="00785FBB"/>
    <w:rsid w:val="007F0B82"/>
    <w:rsid w:val="00807342"/>
    <w:rsid w:val="00832B23"/>
    <w:rsid w:val="00861533"/>
    <w:rsid w:val="00865367"/>
    <w:rsid w:val="00873CE1"/>
    <w:rsid w:val="00882455"/>
    <w:rsid w:val="008863A3"/>
    <w:rsid w:val="0089066C"/>
    <w:rsid w:val="0089219C"/>
    <w:rsid w:val="008C0E63"/>
    <w:rsid w:val="008D2BD6"/>
    <w:rsid w:val="008E53E3"/>
    <w:rsid w:val="008F08DA"/>
    <w:rsid w:val="00904099"/>
    <w:rsid w:val="00907C56"/>
    <w:rsid w:val="00915E6A"/>
    <w:rsid w:val="009438E4"/>
    <w:rsid w:val="00967087"/>
    <w:rsid w:val="009776D7"/>
    <w:rsid w:val="009B3C69"/>
    <w:rsid w:val="009C0AD9"/>
    <w:rsid w:val="00A12C18"/>
    <w:rsid w:val="00A30817"/>
    <w:rsid w:val="00A33ADA"/>
    <w:rsid w:val="00A41A3D"/>
    <w:rsid w:val="00A45282"/>
    <w:rsid w:val="00A55947"/>
    <w:rsid w:val="00A67B89"/>
    <w:rsid w:val="00A76F61"/>
    <w:rsid w:val="00A91C4A"/>
    <w:rsid w:val="00A97C85"/>
    <w:rsid w:val="00AB1009"/>
    <w:rsid w:val="00AE73A4"/>
    <w:rsid w:val="00B149EF"/>
    <w:rsid w:val="00B2339B"/>
    <w:rsid w:val="00B24678"/>
    <w:rsid w:val="00B3432C"/>
    <w:rsid w:val="00B37143"/>
    <w:rsid w:val="00B410DC"/>
    <w:rsid w:val="00B54057"/>
    <w:rsid w:val="00B5593F"/>
    <w:rsid w:val="00B84881"/>
    <w:rsid w:val="00BA27B0"/>
    <w:rsid w:val="00BB623D"/>
    <w:rsid w:val="00BC17BC"/>
    <w:rsid w:val="00BC2129"/>
    <w:rsid w:val="00BC4D1E"/>
    <w:rsid w:val="00BE4B76"/>
    <w:rsid w:val="00C025B4"/>
    <w:rsid w:val="00C44597"/>
    <w:rsid w:val="00C50882"/>
    <w:rsid w:val="00C6751B"/>
    <w:rsid w:val="00C76DE2"/>
    <w:rsid w:val="00C77940"/>
    <w:rsid w:val="00C82B21"/>
    <w:rsid w:val="00C835D2"/>
    <w:rsid w:val="00CB6FE0"/>
    <w:rsid w:val="00CD0F3A"/>
    <w:rsid w:val="00CF3354"/>
    <w:rsid w:val="00CF3EF8"/>
    <w:rsid w:val="00D02178"/>
    <w:rsid w:val="00D04A84"/>
    <w:rsid w:val="00D13435"/>
    <w:rsid w:val="00D24C2E"/>
    <w:rsid w:val="00D37438"/>
    <w:rsid w:val="00D56E68"/>
    <w:rsid w:val="00DA3C4E"/>
    <w:rsid w:val="00DB56EA"/>
    <w:rsid w:val="00DC0F3B"/>
    <w:rsid w:val="00DC362F"/>
    <w:rsid w:val="00DC77CB"/>
    <w:rsid w:val="00DF7498"/>
    <w:rsid w:val="00E11108"/>
    <w:rsid w:val="00E329F3"/>
    <w:rsid w:val="00E37210"/>
    <w:rsid w:val="00E52234"/>
    <w:rsid w:val="00E630B8"/>
    <w:rsid w:val="00E70DCE"/>
    <w:rsid w:val="00E76DF6"/>
    <w:rsid w:val="00E8231D"/>
    <w:rsid w:val="00E8766B"/>
    <w:rsid w:val="00EC724B"/>
    <w:rsid w:val="00ED2907"/>
    <w:rsid w:val="00EE26F1"/>
    <w:rsid w:val="00F07A35"/>
    <w:rsid w:val="00F13A36"/>
    <w:rsid w:val="00F21D17"/>
    <w:rsid w:val="00F2774E"/>
    <w:rsid w:val="00F43B56"/>
    <w:rsid w:val="00F867A7"/>
    <w:rsid w:val="00FA164A"/>
    <w:rsid w:val="00FA6AD2"/>
    <w:rsid w:val="00FC2FEE"/>
    <w:rsid w:val="00FE6194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2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2B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2B29"/>
    <w:rPr>
      <w:rFonts w:ascii="Arial" w:eastAsia="Times New Roman" w:hAnsi="Arial" w:cs="Times New Roman"/>
      <w:sz w:val="20"/>
      <w:szCs w:val="24"/>
      <w:lang w:val="ru-RU"/>
    </w:rPr>
  </w:style>
  <w:style w:type="table" w:styleId="TableGrid">
    <w:name w:val="Table Grid"/>
    <w:basedOn w:val="TableNormal"/>
    <w:rsid w:val="00322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Boldsubjectheading">
    <w:name w:val="EY Bold subject heading"/>
    <w:basedOn w:val="Normal"/>
    <w:rsid w:val="00322B29"/>
    <w:pPr>
      <w:suppressAutoHyphens/>
      <w:spacing w:before="480" w:line="260" w:lineRule="atLeast"/>
    </w:pPr>
    <w:rPr>
      <w:b/>
      <w:kern w:val="12"/>
      <w:sz w:val="26"/>
    </w:rPr>
  </w:style>
  <w:style w:type="paragraph" w:customStyle="1" w:styleId="EYFooterinfo">
    <w:name w:val="EY Footer info"/>
    <w:basedOn w:val="Normal"/>
    <w:rsid w:val="00322B29"/>
    <w:pPr>
      <w:suppressAutoHyphens/>
    </w:pPr>
    <w:rPr>
      <w:color w:val="808080"/>
      <w:kern w:val="12"/>
      <w:sz w:val="11"/>
    </w:rPr>
  </w:style>
  <w:style w:type="paragraph" w:customStyle="1" w:styleId="EYDocumentpromptsbold">
    <w:name w:val="EY Document prompts (bold)"/>
    <w:basedOn w:val="Normal"/>
    <w:rsid w:val="00322B29"/>
    <w:pPr>
      <w:suppressAutoHyphens/>
      <w:spacing w:line="260" w:lineRule="atLeast"/>
    </w:pPr>
    <w:rPr>
      <w:rFonts w:ascii="Arial Bold" w:hAnsi="Arial Bold"/>
      <w:b/>
      <w:kern w:val="12"/>
    </w:rPr>
  </w:style>
  <w:style w:type="paragraph" w:customStyle="1" w:styleId="EYContinuationheader">
    <w:name w:val="EY Continuation header"/>
    <w:basedOn w:val="Normal"/>
    <w:rsid w:val="00322B29"/>
    <w:pPr>
      <w:tabs>
        <w:tab w:val="left" w:pos="2495"/>
      </w:tabs>
      <w:suppressAutoHyphens/>
      <w:spacing w:line="260" w:lineRule="atLeast"/>
    </w:pPr>
    <w:rPr>
      <w:kern w:val="12"/>
    </w:rPr>
  </w:style>
  <w:style w:type="paragraph" w:styleId="Footer">
    <w:name w:val="footer"/>
    <w:basedOn w:val="Normal"/>
    <w:link w:val="FooterChar"/>
    <w:rsid w:val="00322B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2B29"/>
    <w:rPr>
      <w:rFonts w:ascii="Arial" w:eastAsia="Times New Roman" w:hAnsi="Arial" w:cs="Times New Roman"/>
      <w:sz w:val="20"/>
      <w:szCs w:val="24"/>
      <w:lang w:val="ru-RU"/>
    </w:rPr>
  </w:style>
  <w:style w:type="character" w:customStyle="1" w:styleId="EYBodytextwithparaspaceChar">
    <w:name w:val="EY Body text (with para space) Char"/>
    <w:basedOn w:val="DefaultParagraphFont"/>
    <w:link w:val="EYBodytextwithparaspace"/>
    <w:rsid w:val="00322B29"/>
    <w:rPr>
      <w:rFonts w:ascii="Arial" w:hAnsi="Arial"/>
      <w:kern w:val="12"/>
      <w:szCs w:val="24"/>
    </w:rPr>
  </w:style>
  <w:style w:type="paragraph" w:customStyle="1" w:styleId="EYDocumenttitle">
    <w:name w:val="EY Document title"/>
    <w:basedOn w:val="Normal"/>
    <w:next w:val="Normal"/>
    <w:rsid w:val="00322B29"/>
    <w:pPr>
      <w:suppressAutoHyphens/>
    </w:pPr>
    <w:rPr>
      <w:spacing w:val="-4"/>
      <w:kern w:val="12"/>
      <w:sz w:val="36"/>
    </w:rPr>
  </w:style>
  <w:style w:type="paragraph" w:customStyle="1" w:styleId="EYBodytextsubhead2">
    <w:name w:val="EY Body text subhead 2"/>
    <w:basedOn w:val="Normal"/>
    <w:rsid w:val="00322B29"/>
    <w:pPr>
      <w:tabs>
        <w:tab w:val="left" w:pos="907"/>
      </w:tabs>
      <w:suppressAutoHyphens/>
      <w:spacing w:after="200" w:line="500" w:lineRule="atLeast"/>
    </w:pPr>
    <w:rPr>
      <w:rFonts w:ascii="Arial Bold" w:hAnsi="Arial Bold"/>
      <w:b/>
      <w:i/>
      <w:kern w:val="12"/>
    </w:rPr>
  </w:style>
  <w:style w:type="paragraph" w:customStyle="1" w:styleId="EYBodytextwithparaspace">
    <w:name w:val="EY Body text (with para space)"/>
    <w:basedOn w:val="Normal"/>
    <w:link w:val="EYBodytextwithparaspaceChar"/>
    <w:rsid w:val="00322B29"/>
    <w:pPr>
      <w:tabs>
        <w:tab w:val="left" w:pos="907"/>
      </w:tabs>
      <w:suppressAutoHyphens/>
      <w:spacing w:after="400" w:line="360" w:lineRule="auto"/>
    </w:pPr>
    <w:rPr>
      <w:rFonts w:eastAsiaTheme="minorHAnsi" w:cstheme="minorBidi"/>
      <w:kern w:val="12"/>
      <w:sz w:val="22"/>
    </w:rPr>
  </w:style>
  <w:style w:type="paragraph" w:customStyle="1" w:styleId="EYBulletedtext1">
    <w:name w:val="EY Bulleted text 1"/>
    <w:basedOn w:val="EYBodytextwithparaspace"/>
    <w:link w:val="EYBulletedtext1Char"/>
    <w:rsid w:val="00322B29"/>
    <w:pPr>
      <w:numPr>
        <w:numId w:val="1"/>
      </w:numPr>
      <w:tabs>
        <w:tab w:val="clear" w:pos="907"/>
      </w:tabs>
      <w:spacing w:after="0"/>
    </w:pPr>
  </w:style>
  <w:style w:type="character" w:customStyle="1" w:styleId="EYBulletedtext1Char">
    <w:name w:val="EY Bulleted text 1 Char"/>
    <w:basedOn w:val="DefaultParagraphFont"/>
    <w:link w:val="EYBulletedtext1"/>
    <w:rsid w:val="00322B29"/>
    <w:rPr>
      <w:rFonts w:ascii="Arial" w:hAnsi="Arial"/>
      <w:kern w:val="12"/>
      <w:szCs w:val="24"/>
    </w:rPr>
  </w:style>
  <w:style w:type="paragraph" w:customStyle="1" w:styleId="EYHeading2">
    <w:name w:val="EY Heading 2"/>
    <w:basedOn w:val="Normal"/>
    <w:next w:val="EYBodytextwithparaspace"/>
    <w:link w:val="EYHeading2Char"/>
    <w:uiPriority w:val="99"/>
    <w:rsid w:val="00322B29"/>
    <w:pPr>
      <w:keepNext/>
      <w:suppressAutoHyphens/>
      <w:spacing w:before="120" w:after="120"/>
    </w:pPr>
    <w:rPr>
      <w:b/>
      <w:kern w:val="12"/>
      <w:sz w:val="22"/>
    </w:rPr>
  </w:style>
  <w:style w:type="character" w:customStyle="1" w:styleId="EYHeading2Char">
    <w:name w:val="EY Heading 2 Char"/>
    <w:basedOn w:val="DefaultParagraphFont"/>
    <w:link w:val="EYHeading2"/>
    <w:uiPriority w:val="99"/>
    <w:locked/>
    <w:rsid w:val="00322B29"/>
    <w:rPr>
      <w:rFonts w:ascii="Arial" w:eastAsia="Times New Roman" w:hAnsi="Arial" w:cs="Times New Roman"/>
      <w:b/>
      <w:kern w:val="1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29"/>
    <w:rPr>
      <w:rFonts w:ascii="Tahoma" w:eastAsia="Times New Roman" w:hAnsi="Tahoma" w:cs="Tahoma"/>
      <w:sz w:val="16"/>
      <w:szCs w:val="16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711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7116"/>
    <w:rPr>
      <w:rFonts w:ascii="Arial" w:eastAsia="Times New Roman" w:hAnsi="Arial" w:cs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57116"/>
    <w:rPr>
      <w:vertAlign w:val="superscript"/>
    </w:rPr>
  </w:style>
  <w:style w:type="character" w:styleId="Hyperlink">
    <w:name w:val="Hyperlink"/>
    <w:basedOn w:val="DefaultParagraphFont"/>
    <w:rsid w:val="0005711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7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66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66B"/>
    <w:rPr>
      <w:rFonts w:ascii="Arial" w:eastAsia="Times New Roman" w:hAnsi="Arial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66B"/>
    <w:rPr>
      <w:rFonts w:ascii="Arial" w:eastAsia="Times New Roman" w:hAnsi="Arial" w:cs="Times New Roman"/>
      <w:b/>
      <w:bCs/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0230D4"/>
    <w:pPr>
      <w:ind w:left="720"/>
      <w:contextualSpacing/>
    </w:pPr>
  </w:style>
  <w:style w:type="character" w:customStyle="1" w:styleId="tgc">
    <w:name w:val="_tgc"/>
    <w:basedOn w:val="DefaultParagraphFont"/>
    <w:rsid w:val="00473974"/>
  </w:style>
  <w:style w:type="character" w:styleId="FollowedHyperlink">
    <w:name w:val="FollowedHyperlink"/>
    <w:basedOn w:val="DefaultParagraphFont"/>
    <w:uiPriority w:val="99"/>
    <w:semiHidden/>
    <w:unhideWhenUsed/>
    <w:rsid w:val="00F867A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867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rsid w:val="00C025B4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GB" w:bidi="ar-SA"/>
    </w:rPr>
    <w:tblPr>
      <w:tblCellMar>
        <w:left w:w="57" w:type="dxa"/>
        <w:right w:w="57" w:type="dxa"/>
      </w:tblCellMar>
    </w:tblPr>
    <w:tblStylePr w:type="firstRow">
      <w:tblPr/>
      <w:trPr>
        <w:tblHeader/>
      </w:t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YBusinessaddress">
    <w:name w:val="EY Business address"/>
    <w:basedOn w:val="Normal"/>
    <w:link w:val="EYBusinessaddressChar"/>
    <w:rsid w:val="00C025B4"/>
    <w:pPr>
      <w:suppressAutoHyphens/>
      <w:spacing w:line="170" w:lineRule="exact"/>
    </w:pPr>
    <w:rPr>
      <w:color w:val="808080"/>
      <w:kern w:val="12"/>
      <w:sz w:val="15"/>
    </w:rPr>
  </w:style>
  <w:style w:type="paragraph" w:customStyle="1" w:styleId="Legalentityname">
    <w:name w:val="Legal entity name"/>
    <w:basedOn w:val="EYBusinessaddress"/>
    <w:link w:val="LegalentitynameChar"/>
    <w:qFormat/>
    <w:rsid w:val="00C025B4"/>
    <w:pPr>
      <w:spacing w:line="170" w:lineRule="atLeast"/>
    </w:pPr>
    <w:rPr>
      <w:rFonts w:cs="Arial"/>
      <w:b/>
    </w:rPr>
  </w:style>
  <w:style w:type="character" w:customStyle="1" w:styleId="EYBusinessaddressChar">
    <w:name w:val="EY Business address Char"/>
    <w:basedOn w:val="DefaultParagraphFont"/>
    <w:link w:val="EYBusinessaddress"/>
    <w:rsid w:val="00C025B4"/>
    <w:rPr>
      <w:rFonts w:ascii="Arial" w:eastAsia="Times New Roman" w:hAnsi="Arial" w:cs="Times New Roman"/>
      <w:color w:val="808080"/>
      <w:kern w:val="12"/>
      <w:sz w:val="15"/>
      <w:szCs w:val="24"/>
    </w:rPr>
  </w:style>
  <w:style w:type="character" w:customStyle="1" w:styleId="LegalentitynameChar">
    <w:name w:val="Legal entity name Char"/>
    <w:basedOn w:val="EYBusinessaddressChar"/>
    <w:link w:val="Legalentityname"/>
    <w:rsid w:val="00C025B4"/>
    <w:rPr>
      <w:rFonts w:ascii="Arial" w:eastAsia="Times New Roman" w:hAnsi="Arial" w:cs="Arial"/>
      <w:b/>
      <w:color w:val="808080"/>
      <w:kern w:val="12"/>
      <w:sz w:val="15"/>
      <w:szCs w:val="24"/>
    </w:rPr>
  </w:style>
  <w:style w:type="paragraph" w:customStyle="1" w:styleId="address">
    <w:name w:val="address"/>
    <w:basedOn w:val="EYBusinessaddress"/>
    <w:link w:val="addressChar"/>
    <w:qFormat/>
    <w:rsid w:val="00C025B4"/>
    <w:rPr>
      <w:lang w:val="en-US" w:eastAsia="en-US" w:bidi="ar-SA"/>
    </w:rPr>
  </w:style>
  <w:style w:type="character" w:customStyle="1" w:styleId="addressChar">
    <w:name w:val="address Char"/>
    <w:basedOn w:val="EYBusinessaddressChar"/>
    <w:link w:val="address"/>
    <w:rsid w:val="00C025B4"/>
    <w:rPr>
      <w:rFonts w:ascii="Arial" w:eastAsia="Times New Roman" w:hAnsi="Arial" w:cs="Times New Roman"/>
      <w:color w:val="808080"/>
      <w:kern w:val="12"/>
      <w:sz w:val="15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2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2B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2B29"/>
    <w:rPr>
      <w:rFonts w:ascii="Arial" w:eastAsia="Times New Roman" w:hAnsi="Arial" w:cs="Times New Roman"/>
      <w:sz w:val="20"/>
      <w:szCs w:val="24"/>
      <w:lang w:val="ru-RU"/>
    </w:rPr>
  </w:style>
  <w:style w:type="table" w:styleId="TableGrid">
    <w:name w:val="Table Grid"/>
    <w:basedOn w:val="TableNormal"/>
    <w:rsid w:val="00322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Boldsubjectheading">
    <w:name w:val="EY Bold subject heading"/>
    <w:basedOn w:val="Normal"/>
    <w:rsid w:val="00322B29"/>
    <w:pPr>
      <w:suppressAutoHyphens/>
      <w:spacing w:before="480" w:line="260" w:lineRule="atLeast"/>
    </w:pPr>
    <w:rPr>
      <w:b/>
      <w:kern w:val="12"/>
      <w:sz w:val="26"/>
    </w:rPr>
  </w:style>
  <w:style w:type="paragraph" w:customStyle="1" w:styleId="EYFooterinfo">
    <w:name w:val="EY Footer info"/>
    <w:basedOn w:val="Normal"/>
    <w:rsid w:val="00322B29"/>
    <w:pPr>
      <w:suppressAutoHyphens/>
    </w:pPr>
    <w:rPr>
      <w:color w:val="808080"/>
      <w:kern w:val="12"/>
      <w:sz w:val="11"/>
    </w:rPr>
  </w:style>
  <w:style w:type="paragraph" w:customStyle="1" w:styleId="EYDocumentpromptsbold">
    <w:name w:val="EY Document prompts (bold)"/>
    <w:basedOn w:val="Normal"/>
    <w:rsid w:val="00322B29"/>
    <w:pPr>
      <w:suppressAutoHyphens/>
      <w:spacing w:line="260" w:lineRule="atLeast"/>
    </w:pPr>
    <w:rPr>
      <w:rFonts w:ascii="Arial Bold" w:hAnsi="Arial Bold"/>
      <w:b/>
      <w:kern w:val="12"/>
    </w:rPr>
  </w:style>
  <w:style w:type="paragraph" w:customStyle="1" w:styleId="EYContinuationheader">
    <w:name w:val="EY Continuation header"/>
    <w:basedOn w:val="Normal"/>
    <w:rsid w:val="00322B29"/>
    <w:pPr>
      <w:tabs>
        <w:tab w:val="left" w:pos="2495"/>
      </w:tabs>
      <w:suppressAutoHyphens/>
      <w:spacing w:line="260" w:lineRule="atLeast"/>
    </w:pPr>
    <w:rPr>
      <w:kern w:val="12"/>
    </w:rPr>
  </w:style>
  <w:style w:type="paragraph" w:styleId="Footer">
    <w:name w:val="footer"/>
    <w:basedOn w:val="Normal"/>
    <w:link w:val="FooterChar"/>
    <w:rsid w:val="00322B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2B29"/>
    <w:rPr>
      <w:rFonts w:ascii="Arial" w:eastAsia="Times New Roman" w:hAnsi="Arial" w:cs="Times New Roman"/>
      <w:sz w:val="20"/>
      <w:szCs w:val="24"/>
      <w:lang w:val="ru-RU"/>
    </w:rPr>
  </w:style>
  <w:style w:type="character" w:customStyle="1" w:styleId="EYBodytextwithparaspaceChar">
    <w:name w:val="EY Body text (with para space) Char"/>
    <w:basedOn w:val="DefaultParagraphFont"/>
    <w:link w:val="EYBodytextwithparaspace"/>
    <w:rsid w:val="00322B29"/>
    <w:rPr>
      <w:rFonts w:ascii="Arial" w:hAnsi="Arial"/>
      <w:kern w:val="12"/>
      <w:szCs w:val="24"/>
    </w:rPr>
  </w:style>
  <w:style w:type="paragraph" w:customStyle="1" w:styleId="EYDocumenttitle">
    <w:name w:val="EY Document title"/>
    <w:basedOn w:val="Normal"/>
    <w:next w:val="Normal"/>
    <w:rsid w:val="00322B29"/>
    <w:pPr>
      <w:suppressAutoHyphens/>
    </w:pPr>
    <w:rPr>
      <w:spacing w:val="-4"/>
      <w:kern w:val="12"/>
      <w:sz w:val="36"/>
    </w:rPr>
  </w:style>
  <w:style w:type="paragraph" w:customStyle="1" w:styleId="EYBodytextsubhead2">
    <w:name w:val="EY Body text subhead 2"/>
    <w:basedOn w:val="Normal"/>
    <w:rsid w:val="00322B29"/>
    <w:pPr>
      <w:tabs>
        <w:tab w:val="left" w:pos="907"/>
      </w:tabs>
      <w:suppressAutoHyphens/>
      <w:spacing w:after="200" w:line="500" w:lineRule="atLeast"/>
    </w:pPr>
    <w:rPr>
      <w:rFonts w:ascii="Arial Bold" w:hAnsi="Arial Bold"/>
      <w:b/>
      <w:i/>
      <w:kern w:val="12"/>
    </w:rPr>
  </w:style>
  <w:style w:type="paragraph" w:customStyle="1" w:styleId="EYBodytextwithparaspace">
    <w:name w:val="EY Body text (with para space)"/>
    <w:basedOn w:val="Normal"/>
    <w:link w:val="EYBodytextwithparaspaceChar"/>
    <w:rsid w:val="00322B29"/>
    <w:pPr>
      <w:tabs>
        <w:tab w:val="left" w:pos="907"/>
      </w:tabs>
      <w:suppressAutoHyphens/>
      <w:spacing w:after="400" w:line="360" w:lineRule="auto"/>
    </w:pPr>
    <w:rPr>
      <w:rFonts w:eastAsiaTheme="minorHAnsi" w:cstheme="minorBidi"/>
      <w:kern w:val="12"/>
      <w:sz w:val="22"/>
    </w:rPr>
  </w:style>
  <w:style w:type="paragraph" w:customStyle="1" w:styleId="EYBulletedtext1">
    <w:name w:val="EY Bulleted text 1"/>
    <w:basedOn w:val="EYBodytextwithparaspace"/>
    <w:link w:val="EYBulletedtext1Char"/>
    <w:rsid w:val="00322B29"/>
    <w:pPr>
      <w:numPr>
        <w:numId w:val="1"/>
      </w:numPr>
      <w:tabs>
        <w:tab w:val="clear" w:pos="907"/>
      </w:tabs>
      <w:spacing w:after="0"/>
    </w:pPr>
  </w:style>
  <w:style w:type="character" w:customStyle="1" w:styleId="EYBulletedtext1Char">
    <w:name w:val="EY Bulleted text 1 Char"/>
    <w:basedOn w:val="DefaultParagraphFont"/>
    <w:link w:val="EYBulletedtext1"/>
    <w:rsid w:val="00322B29"/>
    <w:rPr>
      <w:rFonts w:ascii="Arial" w:hAnsi="Arial"/>
      <w:kern w:val="12"/>
      <w:szCs w:val="24"/>
    </w:rPr>
  </w:style>
  <w:style w:type="paragraph" w:customStyle="1" w:styleId="EYHeading2">
    <w:name w:val="EY Heading 2"/>
    <w:basedOn w:val="Normal"/>
    <w:next w:val="EYBodytextwithparaspace"/>
    <w:link w:val="EYHeading2Char"/>
    <w:uiPriority w:val="99"/>
    <w:rsid w:val="00322B29"/>
    <w:pPr>
      <w:keepNext/>
      <w:suppressAutoHyphens/>
      <w:spacing w:before="120" w:after="120"/>
    </w:pPr>
    <w:rPr>
      <w:b/>
      <w:kern w:val="12"/>
      <w:sz w:val="22"/>
    </w:rPr>
  </w:style>
  <w:style w:type="character" w:customStyle="1" w:styleId="EYHeading2Char">
    <w:name w:val="EY Heading 2 Char"/>
    <w:basedOn w:val="DefaultParagraphFont"/>
    <w:link w:val="EYHeading2"/>
    <w:uiPriority w:val="99"/>
    <w:locked/>
    <w:rsid w:val="00322B29"/>
    <w:rPr>
      <w:rFonts w:ascii="Arial" w:eastAsia="Times New Roman" w:hAnsi="Arial" w:cs="Times New Roman"/>
      <w:b/>
      <w:kern w:val="1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29"/>
    <w:rPr>
      <w:rFonts w:ascii="Tahoma" w:eastAsia="Times New Roman" w:hAnsi="Tahoma" w:cs="Tahoma"/>
      <w:sz w:val="16"/>
      <w:szCs w:val="16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711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7116"/>
    <w:rPr>
      <w:rFonts w:ascii="Arial" w:eastAsia="Times New Roman" w:hAnsi="Arial" w:cs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57116"/>
    <w:rPr>
      <w:vertAlign w:val="superscript"/>
    </w:rPr>
  </w:style>
  <w:style w:type="character" w:styleId="Hyperlink">
    <w:name w:val="Hyperlink"/>
    <w:basedOn w:val="DefaultParagraphFont"/>
    <w:rsid w:val="0005711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7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66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66B"/>
    <w:rPr>
      <w:rFonts w:ascii="Arial" w:eastAsia="Times New Roman" w:hAnsi="Arial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66B"/>
    <w:rPr>
      <w:rFonts w:ascii="Arial" w:eastAsia="Times New Roman" w:hAnsi="Arial" w:cs="Times New Roman"/>
      <w:b/>
      <w:bCs/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0230D4"/>
    <w:pPr>
      <w:ind w:left="720"/>
      <w:contextualSpacing/>
    </w:pPr>
  </w:style>
  <w:style w:type="character" w:customStyle="1" w:styleId="tgc">
    <w:name w:val="_tgc"/>
    <w:basedOn w:val="DefaultParagraphFont"/>
    <w:rsid w:val="00473974"/>
  </w:style>
  <w:style w:type="character" w:styleId="FollowedHyperlink">
    <w:name w:val="FollowedHyperlink"/>
    <w:basedOn w:val="DefaultParagraphFont"/>
    <w:uiPriority w:val="99"/>
    <w:semiHidden/>
    <w:unhideWhenUsed/>
    <w:rsid w:val="00F867A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867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rsid w:val="00C025B4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GB" w:bidi="ar-SA"/>
    </w:rPr>
    <w:tblPr>
      <w:tblCellMar>
        <w:left w:w="57" w:type="dxa"/>
        <w:right w:w="57" w:type="dxa"/>
      </w:tblCellMar>
    </w:tblPr>
    <w:tblStylePr w:type="firstRow">
      <w:tblPr/>
      <w:trPr>
        <w:tblHeader/>
      </w:t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YBusinessaddress">
    <w:name w:val="EY Business address"/>
    <w:basedOn w:val="Normal"/>
    <w:link w:val="EYBusinessaddressChar"/>
    <w:rsid w:val="00C025B4"/>
    <w:pPr>
      <w:suppressAutoHyphens/>
      <w:spacing w:line="170" w:lineRule="exact"/>
    </w:pPr>
    <w:rPr>
      <w:color w:val="808080"/>
      <w:kern w:val="12"/>
      <w:sz w:val="15"/>
    </w:rPr>
  </w:style>
  <w:style w:type="paragraph" w:customStyle="1" w:styleId="Legalentityname">
    <w:name w:val="Legal entity name"/>
    <w:basedOn w:val="EYBusinessaddress"/>
    <w:link w:val="LegalentitynameChar"/>
    <w:qFormat/>
    <w:rsid w:val="00C025B4"/>
    <w:pPr>
      <w:spacing w:line="170" w:lineRule="atLeast"/>
    </w:pPr>
    <w:rPr>
      <w:rFonts w:cs="Arial"/>
      <w:b/>
    </w:rPr>
  </w:style>
  <w:style w:type="character" w:customStyle="1" w:styleId="EYBusinessaddressChar">
    <w:name w:val="EY Business address Char"/>
    <w:basedOn w:val="DefaultParagraphFont"/>
    <w:link w:val="EYBusinessaddress"/>
    <w:rsid w:val="00C025B4"/>
    <w:rPr>
      <w:rFonts w:ascii="Arial" w:eastAsia="Times New Roman" w:hAnsi="Arial" w:cs="Times New Roman"/>
      <w:color w:val="808080"/>
      <w:kern w:val="12"/>
      <w:sz w:val="15"/>
      <w:szCs w:val="24"/>
    </w:rPr>
  </w:style>
  <w:style w:type="character" w:customStyle="1" w:styleId="LegalentitynameChar">
    <w:name w:val="Legal entity name Char"/>
    <w:basedOn w:val="EYBusinessaddressChar"/>
    <w:link w:val="Legalentityname"/>
    <w:rsid w:val="00C025B4"/>
    <w:rPr>
      <w:rFonts w:ascii="Arial" w:eastAsia="Times New Roman" w:hAnsi="Arial" w:cs="Arial"/>
      <w:b/>
      <w:color w:val="808080"/>
      <w:kern w:val="12"/>
      <w:sz w:val="15"/>
      <w:szCs w:val="24"/>
    </w:rPr>
  </w:style>
  <w:style w:type="paragraph" w:customStyle="1" w:styleId="address">
    <w:name w:val="address"/>
    <w:basedOn w:val="EYBusinessaddress"/>
    <w:link w:val="addressChar"/>
    <w:qFormat/>
    <w:rsid w:val="00C025B4"/>
    <w:rPr>
      <w:lang w:val="en-US" w:eastAsia="en-US" w:bidi="ar-SA"/>
    </w:rPr>
  </w:style>
  <w:style w:type="character" w:customStyle="1" w:styleId="addressChar">
    <w:name w:val="address Char"/>
    <w:basedOn w:val="EYBusinessaddressChar"/>
    <w:link w:val="address"/>
    <w:rsid w:val="00C025B4"/>
    <w:rPr>
      <w:rFonts w:ascii="Arial" w:eastAsia="Times New Roman" w:hAnsi="Arial" w:cs="Times New Roman"/>
      <w:color w:val="808080"/>
      <w:kern w:val="12"/>
      <w:sz w:val="15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Gleb.Kostarev@ru.ey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global.lifesciences@e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y.com/lifescience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y.com/VitalSigns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ey.com/firepowerind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ey.com/russia" TargetMode="External"/><Relationship Id="rId1" Type="http://schemas.openxmlformats.org/officeDocument/2006/relationships/hyperlink" Target="http://www.ey.com/rus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>2016-01-11T00:00:00+00:00</_DCDateModified>
    <Project_x0020_Name xmlns="46a9ae74-2162-4b2a-a154-5ea09e4d93e4">26</Project_x0020_Name>
    <Global_x0020_Sector xmlns="46a9ae74-2162-4b2a-a154-5ea09e4d93e4">Life Sciences</Global_x0020_Sector>
    <PublishingContact xmlns="http://schemas.microsoft.com/sharepoint/v3">
      <UserInfo>
        <DisplayName>Peter Kelley</DisplayName>
        <AccountId>219</AccountId>
        <AccountType/>
      </UserInfo>
    </PublishingContact>
    <Classification_x0020_Status xmlns="35818088-e62d-4edf-bbb6-409430aef268">Pending classification</Classification_x0020_Status>
    <_dlc_DocId xmlns="46a9ae74-2162-4b2a-a154-5ea09e4d93e4">EKUECYRUT4JJ-7-420</_dlc_DocId>
    <_dlc_DocIdUrl xmlns="46a9ae74-2162-4b2a-a154-5ea09e4d93e4">
      <Url>https://share.ey.net/sites/pronline/_layouts/15/DocIdRedir.aspx?ID=EKUECYRUT4JJ-7-420</Url>
      <Description>EKUECYRUT4JJ-7-420</Description>
    </_dlc_DocIdUrl>
    <ClassificationDataNoteField xmlns="35818088-e62d-4edf-bbb6-409430aef268">fb830c9b-d95d-449c-a5a8-76e1c4fc2c89;2016-01-06 02:42:43;PENDINGCLASSIFICATION;False;False</ClassificationDataNoteField>
    <e0e024ccac5240e69ae9c38a41bfa7a5 xmlns="35818088-e62d-4edf-bbb6-409430aef2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Life Sciences</TermName>
          <TermId xmlns="http://schemas.microsoft.com/office/infopath/2007/PartnerControls">0e8795b7-1bf1-4a04-818f-a4e1784f7bad</TermId>
        </TermInfo>
      </Terms>
    </e0e024ccac5240e69ae9c38a41bfa7a5>
    <TaxCatchAll xmlns="35818088-e62d-4edf-bbb6-409430aef268">
      <Value>20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dia Relations Sector Content Type" ma:contentTypeID="0x010100EBADE475EB53D543A98A31C6E06665AA0400794543A9D82EF04D82ABF627343B9FC0" ma:contentTypeVersion="9" ma:contentTypeDescription="Add Sector Content Type" ma:contentTypeScope="" ma:versionID="e266ad037b4366f55d10d5922e5e0464">
  <xsd:schema xmlns:xsd="http://www.w3.org/2001/XMLSchema" xmlns:xs="http://www.w3.org/2001/XMLSchema" xmlns:p="http://schemas.microsoft.com/office/2006/metadata/properties" xmlns:ns1="http://schemas.microsoft.com/sharepoint/v3" xmlns:ns2="46a9ae74-2162-4b2a-a154-5ea09e4d93e4" xmlns:ns3="http://schemas.microsoft.com/sharepoint/v3/fields" xmlns:ns4="35818088-e62d-4edf-bbb6-409430aef268" targetNamespace="http://schemas.microsoft.com/office/2006/metadata/properties" ma:root="true" ma:fieldsID="b021b2bdcc4a2d4fd0c7d67c2772a90d" ns1:_="" ns2:_="" ns3:_="" ns4:_="">
    <xsd:import namespace="http://schemas.microsoft.com/sharepoint/v3"/>
    <xsd:import namespace="46a9ae74-2162-4b2a-a154-5ea09e4d93e4"/>
    <xsd:import namespace="http://schemas.microsoft.com/sharepoint/v3/fields"/>
    <xsd:import namespace="35818088-e62d-4edf-bbb6-409430aef2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Contact" minOccurs="0"/>
                <xsd:element ref="ns3:_DCDateModified" minOccurs="0"/>
                <xsd:element ref="ns4:TaxCatchAll" minOccurs="0"/>
                <xsd:element ref="ns4:TaxCatchAllLabel" minOccurs="0"/>
                <xsd:element ref="ns4:e0e024ccac5240e69ae9c38a41bfa7a5" minOccurs="0"/>
                <xsd:element ref="ns2:Project_x0020_Name"/>
                <xsd:element ref="ns2:Global_x0020_Sector" minOccurs="0"/>
                <xsd:element ref="ns4:ClassificationDataNoteField" minOccurs="0"/>
                <xsd:element ref="ns4:Classification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13" nillable="true" ma:displayName="Contact" ma:description="Contact is a site column created by the Publishing feature. It is used on the Page Content Type as the person or group who is the contact person for the page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ae74-2162-4b2a-a154-5ea09e4d93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Name" ma:index="19" ma:displayName="Project Name" ma:description="Lookup PR Projects" ma:list="{58dc98e1-200c-41d1-a7c5-da8a2fdb2dbf}" ma:internalName="Project_x0020_Name" ma:showField="Title" ma:web="46a9ae74-2162-4b2a-a154-5ea09e4d93e4">
      <xsd:simpleType>
        <xsd:restriction base="dms:Lookup"/>
      </xsd:simpleType>
    </xsd:element>
    <xsd:element name="Global_x0020_Sector" ma:index="20" nillable="true" ma:displayName="Global Sector" ma:default="Wealth and Asset Management" ma:description="Choose Sector" ma:format="Dropdown" ma:internalName="Global_x0020_Sector" ma:readOnly="false">
      <xsd:simpleType>
        <xsd:restriction base="dms:Choice">
          <xsd:enumeration value="None"/>
          <xsd:enumeration value="Wealth and Asset Management"/>
          <xsd:enumeration value="Automotive"/>
          <xsd:enumeration value="Banking &amp; Capital Markets"/>
          <xsd:enumeration value="Consumer Products &amp; Retail"/>
          <xsd:enumeration value="Government &amp; Public Sector"/>
          <xsd:enumeration value="Insurance"/>
          <xsd:enumeration value="Life Sciences"/>
          <xsd:enumeration value="Media &amp; Entertainment"/>
          <xsd:enumeration value="Mining &amp; Metals"/>
          <xsd:enumeration value="Oil &amp; Gas"/>
          <xsd:enumeration value="Power &amp; Utilities"/>
          <xsd:enumeration value="Private Equity"/>
          <xsd:enumeration value="Real Estate"/>
          <xsd:enumeration value="Technology"/>
          <xsd:enumeration value="Telecommunications"/>
          <xsd:enumeration value="Health Ca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4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8-e62d-4edf-bbb6-409430aef26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6fab53-c5bd-4dd3-ad35-80335fc15af7}" ma:internalName="TaxCatchAll" ma:showField="CatchAllData" ma:web="46a9ae74-2162-4b2a-a154-5ea09e4d9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986fab53-c5bd-4dd3-ad35-80335fc15af7}" ma:internalName="TaxCatchAllLabel" ma:readOnly="true" ma:showField="CatchAllDataLabel" ma:web="46a9ae74-2162-4b2a-a154-5ea09e4d9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e024ccac5240e69ae9c38a41bfa7a5" ma:index="17" nillable="true" ma:taxonomy="true" ma:internalName="e0e024ccac5240e69ae9c38a41bfa7a5" ma:taxonomyFieldName="Sector" ma:displayName="Sector" ma:readOnly="false" ma:default="" ma:fieldId="{e0e024cc-ac52-40e6-9ae9-c38a41bfa7a5}" ma:sspId="9cc9f4e4-efc4-4954-9a3a-92fa8d4fa5d0" ma:termSetId="a2f97da7-e69b-4e00-a045-c556c68352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DataNoteField" ma:index="21" nillable="true" ma:displayName="ClassificationDataNoteField" ma:internalName="ClassificationDataNoteField" ma:readOnly="true">
      <xsd:simpleType>
        <xsd:restriction base="dms:Note"/>
      </xsd:simpleType>
    </xsd:element>
    <xsd:element name="Classification_x0020_Status" ma:index="22" nillable="true" ma:displayName="Classification Status" ma:internalName="Classification_x0020_Statu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D4EB-0A2C-46CB-85FE-5C94B1E8879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46a9ae74-2162-4b2a-a154-5ea09e4d93e4"/>
    <ds:schemaRef ds:uri="http://schemas.microsoft.com/sharepoint/v3"/>
    <ds:schemaRef ds:uri="35818088-e62d-4edf-bbb6-409430aef268"/>
  </ds:schemaRefs>
</ds:datastoreItem>
</file>

<file path=customXml/itemProps2.xml><?xml version="1.0" encoding="utf-8"?>
<ds:datastoreItem xmlns:ds="http://schemas.openxmlformats.org/officeDocument/2006/customXml" ds:itemID="{AB8C0BC9-CAA6-4FA9-B29C-8D64A601F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a9ae74-2162-4b2a-a154-5ea09e4d93e4"/>
    <ds:schemaRef ds:uri="http://schemas.microsoft.com/sharepoint/v3/fields"/>
    <ds:schemaRef ds:uri="35818088-e62d-4edf-bbb6-409430aef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3A3C8-04C9-4D0A-8EDB-89A366183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B4738-A305-44BF-B51F-521B68C9396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C9EA14-FE77-424C-9AF3-380EEA6C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- 2016 Firepower - Annual Life Sciences M&amp;A report</vt:lpstr>
    </vt:vector>
  </TitlesOfParts>
  <Company>Ernst &amp; Young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- 2016 Firepower - Annual Life Sciences M&amp;A report</dc:title>
  <dc:creator>Peter Kelley</dc:creator>
  <cp:lastModifiedBy>Tatiana V Garnina</cp:lastModifiedBy>
  <cp:revision>2</cp:revision>
  <dcterms:created xsi:type="dcterms:W3CDTF">2016-03-01T10:30:00Z</dcterms:created>
  <dcterms:modified xsi:type="dcterms:W3CDTF">2016-03-01T10:30:00Z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0x010100EBADE475EB53D543A98A31C6E06665AA0400794543A9D82EF04D82ABF627343B9FC0</vt:lpwstr>
  </property>
  <property fmtid="{D5CDD505-2E9C-101B-9397-08002B2CF9AE}" pid="3" name="_dlc_DocIdItemGuid">
    <vt:lpwstr>31f3cb4f-c28d-4863-9d82-cc3460501e56</vt:lpwstr>
  </property>
  <property fmtid="{D5CDD505-2E9C-101B-9397-08002B2CF9AE}" pid="4" name="Sector">
    <vt:lpwstr>20;#Life Sciences|0e8795b7-1bf1-4a04-818f-a4e1784f7bad</vt:lpwstr>
  </property>
</Properties>
</file>