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5065"/>
      </w:tblGrid>
      <w:tr w:rsidR="00EA3502" w:rsidRPr="00B815D5" w:rsidTr="00EA3502">
        <w:tc>
          <w:tcPr>
            <w:tcW w:w="4621" w:type="dxa"/>
          </w:tcPr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Компания Ин2Матрикс провела вебинар на тему  ОПТИМИЗАЦИЯ МЕЖДУНАРОДНЫХ И ЛОКАЛЬНЫХ ПАКЕТОВ ЛЬГОТ СОТРУДНИКОВ В ПОСТ КОВИД-19 ЭРУ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28 июля 2020 года в 15:00 прошел вебинар организованный компанией Ин2Матрикс.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Медийными партнерами мероприятия выступили: Русско-Британская торговая палата, компания Антал Россия, компания МетЛайф, Франко-российская торгово-промышленная палата, Американская торговая палата, Канадская деловая организация, Бельгийская Люксембургская торговая палата, Британский бизнес клуб в России, центр поддержки ПОНИМАЮ, Ассоциация европейского бизнеса. </w:t>
            </w:r>
            <w:r>
              <w:rPr>
                <w:rFonts w:ascii="Arial Narrow" w:hAnsi="Arial Narrow"/>
                <w:color w:val="FF0000"/>
              </w:rPr>
              <w:t>(Везде в скобках сокращённое название и ссылки на них)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На вебинаре докладчики из In2Matrix (Нидерланды), Generali (Великобритания) и Europ Assistance (Россия и СНГ) проанализировали влияние  Коронавируса на программы медицинского страхования сотрудников, рассказали о способах оптимизации расходов на компенсации и льготы сотрудников в целом.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Спикеры  представили ряд стратегий и решений, которые могут помочь компаниям эффективно реагировать на введенные меры в связи с пандемией, защитить своих сотрудников, а также подготовиться к миру в пост Covid-19 эру.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Представлял мероприятие Альф Торренц, исполнительный директор Российско-Британской торговой палаты.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Модератором мероприятия выступил Норман Уде, заместитель генерального директора компании Ин2Матрикс Россия.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Жерард Балтазар (Нидерланды), генеральный директор и основатель компании Ин2Матрикс, рассказал об инструментах, которые позволяют контролировать затраты на медицинское страхование сотрудников и способствуют повышению экономической эффективности компании.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На вебинаре он представил такой инструмент, как управление глобальными льготами (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g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lobal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b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enefits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m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anagement) и проанализировал преимущества данного решения, в </w:t>
            </w:r>
            <w:r>
              <w:rPr>
                <w:rFonts w:ascii="Arial Narrow" w:hAnsi="Arial Narrow"/>
                <w:color w:val="244061" w:themeColor="accent1" w:themeShade="80"/>
              </w:rPr>
              <w:lastRenderedPageBreak/>
              <w:t>достижении экономии средств и повышении прозрачности и контроля над управлением льготами для сотрудников.</w:t>
            </w: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Также Жерард продемонстрировал, как создание соответствующего покрытия для компании, привело к снижению административной нагрузки, улучшило контроль над страховыми полисами в разных странах, что также привело к экономии средств до 30 %.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Эрик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</w:rPr>
              <w:t>Батлер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</w:rPr>
              <w:t xml:space="preserve"> (Великобритания), директор отдела глобального здоровья компании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</w:rPr>
              <w:t>Generali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</w:rPr>
              <w:t>,  рассказал о том, насколько важна история обращений застрахованных сотрудников (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claims</w:t>
            </w:r>
            <w:r w:rsidRPr="00B815D5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data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) в определении медицинских тенденций и факторов, определяющих стоимость страхования.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Эрик на примере компании из Тайланда, проанализировал, какие поведенческие факторы сотрудников влияют на формирование медицинских трендов, как анализ истории обращений застрахованных может помочь при формировании пакетов льгот.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Даниэла Мастерс (Великобритания), руководитель отдела поддержания здоровья и благополучия сотрудников (wellbeing) компании Generali, рассказала о том, насколько важны программы по благополучию сотрудников, как они влияют на удовлетворенность и удержание персонала.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Даниела рассказала о том, насколько важно использовать целостный подход в управлении затратами на здоровье и самочувствие сотрудников, в улучшении качества их жизни.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Вадим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</w:rPr>
              <w:t>Пьомбо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</w:rPr>
              <w:t xml:space="preserve"> (Российская Федерация и СНГ), генеральный директор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Europ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</w:rPr>
              <w:t>-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assistance</w:t>
            </w:r>
            <w:r w:rsidRPr="00B815D5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CIS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, проанализировал, как можно снизить расходы, добавляя в пакет льгот услуги, которые стоят недорого, но высоко ценятся среди сотрудников. 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Также Вадим рассказал о том, насколько меняются требования сотрудников пакетам льгот, о повышающемся спросе на телемедицину, консьерж сервисе или, например, к сервису второго медицинского мнения.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Стивен Спилл (Великобритания), адвайзер компании Ин2Матрикс, рассказал о том, как компании могут использовать преимущества </w:t>
            </w:r>
            <w:r>
              <w:rPr>
                <w:rFonts w:ascii="Arial Narrow" w:hAnsi="Arial Narrow"/>
                <w:color w:val="244061" w:themeColor="accent1" w:themeShade="80"/>
              </w:rPr>
              <w:lastRenderedPageBreak/>
              <w:t>серьезных кризисов. Проанализировал, как переход на удаленную работу повлияет на изменение пакетов льгот сотрудников, делая их более гибкими. Рассказал о его подходе к управлению сотрудниками в кризис.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«Компания Ин2Матрикс  надеется, что вебинар был полезным, и участники смогут  использовать предоставленную информацию для развития и роста бизнеса. А также с нетерпением ждет возможности предложить еще больше вебинаров в будущем.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Если чей-то вопрос не был озвучен во время прямой трансляции, мы будем рады связаться с вами в любое время», - такими словами завершил вебинар Норман Уде.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</w:p>
          <w:p w:rsidR="00EA3502" w:rsidRDefault="00EA3502" w:rsidP="00EA3502">
            <w:r>
              <w:rPr>
                <w:rFonts w:ascii="Arial Narrow" w:hAnsi="Arial Narrow"/>
                <w:color w:val="244061" w:themeColor="accent1" w:themeShade="80"/>
              </w:rPr>
              <w:t xml:space="preserve">Доступ к записи Вы можете получить здесь  - </w:t>
            </w:r>
          </w:p>
          <w:p w:rsidR="00EA3502" w:rsidRDefault="00EA3502" w:rsidP="00EA3502"/>
          <w:p w:rsidR="00EA3502" w:rsidRDefault="00EA3502"/>
        </w:tc>
        <w:tc>
          <w:tcPr>
            <w:tcW w:w="4621" w:type="dxa"/>
          </w:tcPr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lang w:val="en-US"/>
              </w:rPr>
              <w:lastRenderedPageBreak/>
              <w:t>On 28</w:t>
            </w:r>
            <w:r w:rsidRPr="00EA350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July, 2020 In2Matrix hosted the webinar ‘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OPTIMIZATION &amp; HARMONIZATION OF INTERNATIONAL &amp; LOCAL EMPLOYEE BENEFITS IN </w:t>
            </w:r>
            <w:r w:rsidR="00066F9B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POST COVID-19 ERA’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The webinar was supported by media partners: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Russo-British Chamber of Commerce (RBCC)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Antal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Russia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Metlife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Franko-Russian Chamber of Commerce (CCIFR)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American Chamber of Commerce (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AmCham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Canada Eurasia Russia Business Association (CERBA)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Belgian-Luxembourg Chamber of Commerce (BLCC)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British Business Club in Russia (BBC)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Assistance Centre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Ponimau</w:t>
            </w:r>
            <w:proofErr w:type="spellEnd"/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Association of European Businesses (AEB)</w:t>
            </w:r>
          </w:p>
          <w:p w:rsidR="00EA3502" w:rsidRPr="00B815D5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Pr="00B815D5" w:rsidRDefault="00B815D5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Pr="00B815D5" w:rsidRDefault="00B815D5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Pr="00B815D5" w:rsidRDefault="00B815D5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066F9B" w:rsidRDefault="00066F9B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066F9B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During</w:t>
            </w:r>
            <w:r w:rsid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the webinar, the speakers from In2Matrix (Netherlands &amp; UK), Generali (UK) and </w:t>
            </w:r>
            <w:proofErr w:type="spellStart"/>
            <w:r w:rsidR="00EA3502">
              <w:rPr>
                <w:rFonts w:ascii="Arial Narrow" w:hAnsi="Arial Narrow"/>
                <w:color w:val="244061" w:themeColor="accent1" w:themeShade="80"/>
                <w:lang w:val="en-US"/>
              </w:rPr>
              <w:t>Europ</w:t>
            </w:r>
            <w:proofErr w:type="spellEnd"/>
            <w:r w:rsid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Assistance (Russia and CIS) an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alyzed the impact of the Corona Virus on</w:t>
            </w:r>
            <w:r w:rsid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employee benefits and provided the practical tools for optimization of employee benefits programs.</w:t>
            </w: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The speakers presented a range of strategies and solutions that can help companies respond effectively to the current pandemic measures, protect their employees, and prepare for the post-Covid-19 era.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The event was presented by Alf </w:t>
            </w:r>
            <w:proofErr w:type="spellStart"/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Torrenz</w:t>
            </w:r>
            <w:proofErr w:type="spellEnd"/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, Executive Director of the Russ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ian-British Chamber of Commerce and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moderated by Norman U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h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de, Deputy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CEO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of In2Matrix Russia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P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Gerard Balt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azar (Netherlands), CEO and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Chairman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of In2Matrix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Group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, sp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oke about the tools that allow companies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to control the costs of employee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benefits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and help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achieve efficiency.</w:t>
            </w: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At the webinar, he presented the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Global Benefits M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anagement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(GBM)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and analyzed the benefits of this solution in achieving cost savings and increasing transparency and control over employee benefit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s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lastRenderedPageBreak/>
              <w:t>management.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G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erard also demonstrated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the real client case study for who In2Matrix implemented GBM solution which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led to a decrease in the administrative burden, improved control over insurance p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olicies in different countries and brought insurance related cost savings of 30%.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P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Eric Butler (UK), Director -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Global Health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&amp; Wellness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at Generali, spoke about the importance of claims data in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determining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the cost of insurance.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Eric, using the example of a company from Thailand, analyzed what behavioral factors of employees influence the formation of medical trends, how an analysis of the history of insured persons' c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laims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can help in the formation of benefit packages.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Daniela Masters (UK), Head of </w:t>
            </w:r>
            <w:r w:rsidR="00066F9B">
              <w:rPr>
                <w:rFonts w:ascii="Arial Narrow" w:hAnsi="Arial Narrow"/>
                <w:color w:val="244061" w:themeColor="accent1" w:themeShade="80"/>
                <w:lang w:val="en-US"/>
              </w:rPr>
              <w:t>Global He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a</w:t>
            </w:r>
            <w:r w:rsidR="00066F9B">
              <w:rPr>
                <w:rFonts w:ascii="Arial Narrow" w:hAnsi="Arial Narrow"/>
                <w:color w:val="244061" w:themeColor="accent1" w:themeShade="80"/>
                <w:lang w:val="en-US"/>
              </w:rPr>
              <w:t>l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th and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Wellbeing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programs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at Generali, talked about the importance of employee wellbeing programs and how they affect employee satisfaction and retention.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Daniela talked about how important it is to use a holistic approach in managing the costs of health and well-being of employees, in improving their quality of life.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B815D5" w:rsidRPr="00B815D5" w:rsidRDefault="00B815D5" w:rsidP="00EA3502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Vadim Piombo (Russian Federation and CIS), CEO of </w:t>
            </w:r>
            <w:proofErr w:type="spellStart"/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Europ</w:t>
            </w:r>
            <w:proofErr w:type="spellEnd"/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-assistance CIS, analyzed how costs can be reduced by adding services to the benefit package that are </w:t>
            </w:r>
            <w:r w:rsidR="00B815D5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not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inexpensive but highly valued by employees.</w:t>
            </w: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Pr="00EA3502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Vadim also talked about how the requirements of employees for benefit packages are changing, about the growing demand for telemedicine, concierge services, or, for example, for a second medical opinion service.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Steven Spill (UK), Board Advisor of In2Matrix Group,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 talked about how companies can take advantage of serious crises. </w:t>
            </w: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lastRenderedPageBreak/>
              <w:t>He also a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nalyzed how the transition to remote work will affect the change in employee benefit packages, making them more flexible. He spoke about his approach to managing employees in a crisis.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EA3502" w:rsidRP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“In2Matrix hopes that the webinar was useful and that the participants will be able to use the information provided to develop and grow their business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es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. And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we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also look forward to offering even more webinars in the future.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>If someone's question was not voiced during the live broadcast, we will be ha</w:t>
            </w:r>
            <w:r w:rsidR="00066F9B">
              <w:rPr>
                <w:rFonts w:ascii="Arial Narrow" w:hAnsi="Arial Narrow"/>
                <w:color w:val="244061" w:themeColor="accent1" w:themeShade="80"/>
                <w:lang w:val="en-US"/>
              </w:rPr>
              <w:t>ppy to be in touch with you at any time,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"-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with </w:t>
            </w:r>
            <w:r w:rsidRPr="00EA3502"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these words </w:t>
            </w: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>Norman Uhde concluded the webinar.</w:t>
            </w:r>
          </w:p>
          <w:p w:rsid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  <w:p w:rsidR="00B815D5" w:rsidRDefault="00B815D5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bookmarkStart w:id="0" w:name="_GoBack"/>
            <w:bookmarkEnd w:id="0"/>
          </w:p>
          <w:p w:rsidR="00EA3502" w:rsidRP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  <w:r>
              <w:rPr>
                <w:rFonts w:ascii="Arial Narrow" w:hAnsi="Arial Narrow"/>
                <w:color w:val="244061" w:themeColor="accent1" w:themeShade="80"/>
                <w:lang w:val="en-US"/>
              </w:rPr>
              <w:t xml:space="preserve">The watch webinar click here - </w:t>
            </w:r>
            <w:hyperlink r:id="rId5" w:history="1">
              <w:r w:rsidRPr="00B815D5">
                <w:rPr>
                  <w:rStyle w:val="a4"/>
                  <w:lang w:val="en-US"/>
                </w:rPr>
                <w:t>https://www.youtube.com/watch?v=XMY_VVMUvqM</w:t>
              </w:r>
            </w:hyperlink>
          </w:p>
          <w:p w:rsidR="00EA3502" w:rsidRPr="00EA3502" w:rsidRDefault="00EA3502" w:rsidP="00EA3502">
            <w:pPr>
              <w:rPr>
                <w:rFonts w:ascii="Arial Narrow" w:hAnsi="Arial Narrow"/>
                <w:color w:val="244061" w:themeColor="accent1" w:themeShade="80"/>
                <w:lang w:val="en-US"/>
              </w:rPr>
            </w:pPr>
          </w:p>
        </w:tc>
      </w:tr>
    </w:tbl>
    <w:p w:rsidR="00EA3502" w:rsidRPr="00B815D5" w:rsidRDefault="00EA3502">
      <w:pPr>
        <w:rPr>
          <w:lang w:val="en-US"/>
        </w:rPr>
      </w:pPr>
    </w:p>
    <w:sectPr w:rsidR="00EA3502" w:rsidRPr="00B8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2"/>
    <w:rsid w:val="00066F9B"/>
    <w:rsid w:val="00092DDF"/>
    <w:rsid w:val="003675A4"/>
    <w:rsid w:val="00B815D5"/>
    <w:rsid w:val="00E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3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3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5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39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21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Y_VVMUv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Agnesa</dc:creator>
  <cp:lastModifiedBy>Kristina Grigoryeva</cp:lastModifiedBy>
  <cp:revision>2</cp:revision>
  <dcterms:created xsi:type="dcterms:W3CDTF">2020-08-05T07:46:00Z</dcterms:created>
  <dcterms:modified xsi:type="dcterms:W3CDTF">2020-08-05T07:46:00Z</dcterms:modified>
</cp:coreProperties>
</file>