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485"/>
      </w:tblGrid>
      <w:tr w:rsidR="0091433D">
        <w:trPr>
          <w:cantSplit/>
          <w:trHeight w:val="1304"/>
        </w:trPr>
        <w:tc>
          <w:tcPr>
            <w:tcW w:w="6804" w:type="dxa"/>
          </w:tcPr>
          <w:p w:rsidR="0091433D" w:rsidRDefault="00F7535F">
            <w:bookmarkStart w:id="0" w:name="bmkLogo_2"/>
            <w:r>
              <w:rPr>
                <w:noProof/>
                <w:lang w:val="en-US"/>
              </w:rPr>
              <w:drawing>
                <wp:inline distT="0" distB="0" distL="0" distR="0">
                  <wp:extent cx="1463043" cy="280417"/>
                  <wp:effectExtent l="0" t="0" r="381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3" cy="28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85" w:type="dxa"/>
          </w:tcPr>
          <w:p w:rsidR="0091433D" w:rsidRDefault="0091433D">
            <w:pPr>
              <w:tabs>
                <w:tab w:val="left" w:pos="288"/>
              </w:tabs>
            </w:pPr>
          </w:p>
        </w:tc>
      </w:tr>
    </w:tbl>
    <w:p w:rsidR="0091433D" w:rsidRDefault="00F7535F">
      <w:pPr>
        <w:pStyle w:val="BodyText"/>
      </w:pPr>
      <w:r>
        <w:t>Press Release</w:t>
      </w:r>
    </w:p>
    <w:p w:rsidR="00ED5D56" w:rsidRPr="00ED5D56" w:rsidRDefault="00ED5D56" w:rsidP="00ED5D56">
      <w:pPr>
        <w:spacing w:line="240" w:lineRule="auto"/>
        <w:jc w:val="center"/>
        <w:rPr>
          <w:rFonts w:eastAsia="Calibri" w:cs="Arial"/>
          <w:b/>
          <w:bCs/>
          <w:sz w:val="28"/>
          <w:szCs w:val="28"/>
          <w:lang w:val="en-US" w:eastAsia="ru-RU"/>
        </w:rPr>
      </w:pPr>
      <w:r w:rsidRPr="00ED5D56">
        <w:rPr>
          <w:rFonts w:eastAsia="Calibri" w:cs="Arial"/>
          <w:b/>
          <w:bCs/>
          <w:sz w:val="28"/>
          <w:szCs w:val="28"/>
          <w:lang w:val="en-US" w:eastAsia="ru-RU"/>
        </w:rPr>
        <w:t>Dentons leads litigation ranking according to Pravo.ru research</w:t>
      </w:r>
    </w:p>
    <w:p w:rsidR="00ED5D56" w:rsidRPr="00320AFE" w:rsidRDefault="00ED5D56" w:rsidP="00ED5D56">
      <w:pPr>
        <w:ind w:right="8"/>
        <w:jc w:val="both"/>
        <w:rPr>
          <w:rFonts w:eastAsia="Calibri" w:cs="Arial"/>
          <w:b/>
          <w:bCs/>
          <w:szCs w:val="20"/>
          <w:lang w:val="en-US" w:eastAsia="ru-RU"/>
        </w:rPr>
      </w:pPr>
    </w:p>
    <w:p w:rsidR="00ED5D56" w:rsidRPr="00C5599F" w:rsidRDefault="00ED5D56" w:rsidP="00ED5D56">
      <w:pPr>
        <w:jc w:val="both"/>
        <w:rPr>
          <w:rFonts w:eastAsia="Calibri" w:cs="Arial"/>
          <w:lang w:val="en-US" w:eastAsia="ru-RU"/>
        </w:rPr>
      </w:pPr>
      <w:r w:rsidRPr="00ED5D56">
        <w:rPr>
          <w:rFonts w:eastAsia="Calibri" w:cs="Arial"/>
          <w:b/>
          <w:bCs/>
          <w:lang w:val="en-US" w:eastAsia="ru-RU"/>
        </w:rPr>
        <w:t xml:space="preserve">Moscow, August 2017 </w:t>
      </w:r>
      <w:r w:rsidRPr="00ED5D56">
        <w:rPr>
          <w:rFonts w:eastAsia="Calibri" w:cs="Arial"/>
          <w:lang w:val="en-US" w:eastAsia="ru-RU"/>
        </w:rPr>
        <w:t xml:space="preserve">– Pravo.ru information portal has published the results of its study of the Russian litigation market. Dentons global law firm has taken </w:t>
      </w:r>
      <w:r w:rsidRPr="00ED5D56">
        <w:rPr>
          <w:rFonts w:eastAsia="Calibri" w:cs="Arial"/>
          <w:b/>
          <w:lang w:val="en-US" w:eastAsia="ru-RU"/>
        </w:rPr>
        <w:t>first place in the general ranking</w:t>
      </w:r>
      <w:r w:rsidRPr="00ED5D56">
        <w:rPr>
          <w:rFonts w:eastAsia="Calibri" w:cs="Arial"/>
          <w:lang w:val="en-US" w:eastAsia="ru-RU"/>
        </w:rPr>
        <w:t xml:space="preserve"> and </w:t>
      </w:r>
      <w:r w:rsidRPr="00ED5D56">
        <w:rPr>
          <w:rFonts w:eastAsia="Calibri" w:cs="Arial"/>
          <w:b/>
          <w:lang w:val="en-US" w:eastAsia="ru-RU"/>
        </w:rPr>
        <w:t xml:space="preserve">first place by </w:t>
      </w:r>
      <w:proofErr w:type="spellStart"/>
      <w:r w:rsidRPr="00ED5D56">
        <w:rPr>
          <w:rFonts w:eastAsia="Calibri" w:cs="Arial"/>
          <w:b/>
          <w:lang w:val="en-US" w:eastAsia="ru-RU"/>
        </w:rPr>
        <w:t>winrate</w:t>
      </w:r>
      <w:proofErr w:type="spellEnd"/>
      <w:r w:rsidRPr="00ED5D56">
        <w:rPr>
          <w:rFonts w:eastAsia="Calibri" w:cs="Arial"/>
          <w:b/>
          <w:lang w:val="en-US" w:eastAsia="ru-RU"/>
        </w:rPr>
        <w:t xml:space="preserve"> </w:t>
      </w:r>
      <w:r w:rsidRPr="00ED5D56">
        <w:rPr>
          <w:rFonts w:eastAsia="Calibri" w:cs="Arial"/>
          <w:lang w:val="en-US" w:eastAsia="ru-RU"/>
        </w:rPr>
        <w:t xml:space="preserve">from the total number of court cases in which it represented its clients in 2016. </w:t>
      </w:r>
    </w:p>
    <w:p w:rsidR="00ED5D56" w:rsidRPr="00C5599F" w:rsidRDefault="00ED5D56" w:rsidP="00ED5D56">
      <w:pPr>
        <w:jc w:val="both"/>
        <w:rPr>
          <w:rFonts w:eastAsia="Calibri" w:cs="Arial"/>
          <w:lang w:val="en-US" w:eastAsia="ru-RU"/>
        </w:rPr>
      </w:pPr>
    </w:p>
    <w:p w:rsidR="00ED5D56" w:rsidRPr="00C5599F" w:rsidRDefault="00ED5D56" w:rsidP="00ED5D56">
      <w:pPr>
        <w:jc w:val="both"/>
        <w:rPr>
          <w:rFonts w:eastAsia="Calibri" w:cs="Arial"/>
          <w:lang w:val="en-US" w:eastAsia="ru-RU"/>
        </w:rPr>
      </w:pPr>
      <w:r w:rsidRPr="00ED5D56">
        <w:rPr>
          <w:rFonts w:eastAsia="Calibri" w:cs="Arial"/>
          <w:lang w:val="en-US" w:eastAsia="ru-RU"/>
        </w:rPr>
        <w:t>In their study Pravo.ru analysts looked at the final decisions of all court levels that were delivered during the period from 1 January through 31 December 2016. The company’s participation as plaintiff or defendant, representation of debtors and creditors in bankruptcy cases, and participation in separate disputes were considered.</w:t>
      </w:r>
    </w:p>
    <w:p w:rsidR="00ED5D56" w:rsidRPr="00C5599F" w:rsidRDefault="00ED5D56" w:rsidP="00ED5D56">
      <w:pPr>
        <w:jc w:val="both"/>
        <w:rPr>
          <w:rFonts w:eastAsia="Calibri" w:cs="Arial"/>
          <w:lang w:val="en-US" w:eastAsia="ru-RU"/>
        </w:rPr>
      </w:pPr>
    </w:p>
    <w:p w:rsidR="00ED5D56" w:rsidRPr="00ED5D56" w:rsidRDefault="00ED5D56" w:rsidP="00ED5D56">
      <w:pPr>
        <w:jc w:val="both"/>
        <w:rPr>
          <w:rFonts w:eastAsia="Calibri" w:cs="Arial"/>
          <w:lang w:val="en-US" w:eastAsia="ru-RU"/>
        </w:rPr>
      </w:pPr>
      <w:r w:rsidRPr="00ED5D56">
        <w:rPr>
          <w:rFonts w:eastAsia="Calibri" w:cs="Arial"/>
          <w:lang w:val="en-US" w:eastAsia="ru-RU"/>
        </w:rPr>
        <w:t>Dentons’ Russia</w:t>
      </w:r>
      <w:r>
        <w:rPr>
          <w:rFonts w:eastAsia="Calibri" w:cs="Arial"/>
          <w:lang w:val="en-US" w:eastAsia="ru-RU"/>
        </w:rPr>
        <w:t>n</w:t>
      </w:r>
      <w:r w:rsidRPr="00ED5D56">
        <w:rPr>
          <w:rFonts w:eastAsia="Calibri" w:cs="Arial"/>
          <w:lang w:val="en-US" w:eastAsia="ru-RU"/>
        </w:rPr>
        <w:t xml:space="preserve"> Litigation and Dispute Resolution practice has 25 lawyers, including 10 partners focusing on </w:t>
      </w:r>
      <w:r w:rsidR="00C5599F">
        <w:rPr>
          <w:rFonts w:eastAsia="Calibri" w:cs="Arial"/>
          <w:lang w:val="en-US" w:eastAsia="ru-RU"/>
        </w:rPr>
        <w:t>all</w:t>
      </w:r>
      <w:r w:rsidRPr="00ED5D56">
        <w:rPr>
          <w:rFonts w:eastAsia="Calibri" w:cs="Arial"/>
          <w:lang w:val="en-US" w:eastAsia="ru-RU"/>
        </w:rPr>
        <w:t xml:space="preserve"> types of disputes</w:t>
      </w:r>
      <w:bookmarkStart w:id="1" w:name="_GoBack"/>
      <w:bookmarkEnd w:id="1"/>
      <w:r w:rsidRPr="00ED5D56">
        <w:rPr>
          <w:rFonts w:eastAsia="Calibri" w:cs="Arial"/>
          <w:lang w:val="en-US" w:eastAsia="ru-RU"/>
        </w:rPr>
        <w:t xml:space="preserve">. </w:t>
      </w:r>
    </w:p>
    <w:p w:rsidR="00ED5D56" w:rsidRPr="00ED5D56" w:rsidRDefault="00ED5D56" w:rsidP="00ED5D56">
      <w:pPr>
        <w:jc w:val="both"/>
        <w:rPr>
          <w:rFonts w:eastAsia="Calibri" w:cs="Arial"/>
          <w:lang w:val="en-US" w:eastAsia="ru-RU"/>
        </w:rPr>
      </w:pPr>
    </w:p>
    <w:p w:rsidR="00ED5D56" w:rsidRPr="00C5599F" w:rsidRDefault="00ED5D56" w:rsidP="00ED5D56">
      <w:pPr>
        <w:jc w:val="both"/>
        <w:rPr>
          <w:rFonts w:eastAsia="Calibri" w:cs="Arial"/>
          <w:lang w:val="en-US" w:eastAsia="ru-RU"/>
        </w:rPr>
      </w:pPr>
      <w:r w:rsidRPr="00ED5D56">
        <w:rPr>
          <w:rFonts w:eastAsia="Calibri" w:cs="Arial"/>
          <w:lang w:val="en-US" w:eastAsia="ru-RU"/>
        </w:rPr>
        <w:t xml:space="preserve">You can view the ranking </w:t>
      </w:r>
      <w:hyperlink r:id="rId10" w:history="1">
        <w:r w:rsidRPr="00ED5D56">
          <w:rPr>
            <w:rFonts w:eastAsia="Calibri" w:cs="Arial"/>
            <w:color w:val="0000FF"/>
            <w:u w:val="single"/>
            <w:lang w:val="en-US" w:eastAsia="ru-RU"/>
          </w:rPr>
          <w:t>here</w:t>
        </w:r>
      </w:hyperlink>
      <w:r w:rsidRPr="00ED5D56">
        <w:rPr>
          <w:rFonts w:eastAsia="Calibri" w:cs="Arial"/>
          <w:lang w:val="en-US" w:eastAsia="ru-RU"/>
        </w:rPr>
        <w:t>.</w:t>
      </w:r>
    </w:p>
    <w:p w:rsidR="00ED5D56" w:rsidRPr="00C5599F" w:rsidRDefault="00ED5D56" w:rsidP="00ED5D56">
      <w:pPr>
        <w:jc w:val="both"/>
        <w:rPr>
          <w:rFonts w:eastAsia="Calibri" w:cs="Arial"/>
          <w:i/>
          <w:iCs/>
          <w:lang w:val="en-US" w:eastAsia="ru-RU"/>
        </w:rPr>
      </w:pPr>
    </w:p>
    <w:p w:rsidR="00ED5D56" w:rsidRPr="00C5599F" w:rsidRDefault="00ED5D56" w:rsidP="00ED5D56">
      <w:pPr>
        <w:jc w:val="both"/>
        <w:rPr>
          <w:rFonts w:eastAsia="Calibri" w:cs="Arial"/>
          <w:lang w:val="en-US" w:eastAsia="ru-RU"/>
        </w:rPr>
      </w:pPr>
      <w:r w:rsidRPr="00ED5D56">
        <w:rPr>
          <w:rFonts w:eastAsia="Calibri" w:cs="Arial"/>
          <w:lang w:val="en-US" w:eastAsia="ru-RU"/>
        </w:rPr>
        <w:t>Pravo.ru is a universal information portal that provides users with a variety of legal information and creates a platform for discussing current issues related to the development and application of legislation.</w:t>
      </w:r>
    </w:p>
    <w:p w:rsidR="00ED5D56" w:rsidRPr="00C5599F" w:rsidRDefault="00ED5D56" w:rsidP="00ED5D56">
      <w:pPr>
        <w:jc w:val="both"/>
        <w:rPr>
          <w:rFonts w:eastAsia="Calibri" w:cs="Arial"/>
          <w:lang w:val="en-US" w:eastAsia="ru-RU"/>
        </w:rPr>
      </w:pPr>
    </w:p>
    <w:p w:rsidR="0091433D" w:rsidRDefault="00F7535F" w:rsidP="00F8635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About Dentons</w:t>
      </w:r>
    </w:p>
    <w:p w:rsidR="00ED5D56" w:rsidRDefault="00ED5D56" w:rsidP="00F8635E">
      <w:pPr>
        <w:jc w:val="both"/>
        <w:rPr>
          <w:b/>
          <w:bCs/>
          <w:u w:val="single"/>
        </w:rPr>
      </w:pPr>
    </w:p>
    <w:p w:rsidR="00F8635E" w:rsidRDefault="00F8635E" w:rsidP="00F8635E">
      <w:pPr>
        <w:jc w:val="both"/>
        <w:rPr>
          <w:rFonts w:ascii="Calibri" w:hAnsi="Calibri" w:cs="Times New Roman"/>
        </w:rPr>
      </w:pPr>
      <w:r>
        <w:rPr>
          <w:rFonts w:cs="Arial"/>
        </w:rPr>
        <w:t xml:space="preserve">Dentons is the world's largest law firm*, delivering quality and value to clients around the globe. Dentons is a leader on the </w:t>
      </w:r>
      <w:proofErr w:type="spellStart"/>
      <w:r>
        <w:rPr>
          <w:rFonts w:cs="Arial"/>
        </w:rPr>
        <w:t>Acritas</w:t>
      </w:r>
      <w:proofErr w:type="spellEnd"/>
      <w:r>
        <w:rPr>
          <w:rFonts w:cs="Arial"/>
        </w:rPr>
        <w:t xml:space="preserve"> Global Elite Brand Index, a BTI Client Service 30 Award winner and recognized by prominent business and legal publications for its innovations in client service, including founding </w:t>
      </w:r>
      <w:proofErr w:type="spellStart"/>
      <w:r>
        <w:rPr>
          <w:rFonts w:cs="Arial"/>
        </w:rPr>
        <w:t>Nextlaw</w:t>
      </w:r>
      <w:proofErr w:type="spellEnd"/>
      <w:r>
        <w:rPr>
          <w:rFonts w:cs="Arial"/>
        </w:rPr>
        <w:t xml:space="preserve"> Labs and the </w:t>
      </w:r>
      <w:proofErr w:type="spellStart"/>
      <w:r>
        <w:rPr>
          <w:rFonts w:cs="Arial"/>
        </w:rPr>
        <w:t>Nextlaw</w:t>
      </w:r>
      <w:proofErr w:type="spellEnd"/>
      <w:r>
        <w:rPr>
          <w:rFonts w:cs="Arial"/>
        </w:rPr>
        <w:t xml:space="preserve"> Global Referral Network. Dentons' polycentric approach and world-class talent challenge the status quo to advance client interests in the communities in which we live and work.  </w:t>
      </w:r>
      <w:hyperlink r:id="rId11" w:history="1">
        <w:r>
          <w:rPr>
            <w:rStyle w:val="Hyperlink"/>
            <w:rFonts w:cs="Arial"/>
          </w:rPr>
          <w:t>www</w:t>
        </w:r>
        <w:r w:rsidRPr="006F275A">
          <w:rPr>
            <w:rStyle w:val="Hyperlink"/>
            <w:rFonts w:cs="Arial"/>
          </w:rPr>
          <w:t>.</w:t>
        </w:r>
        <w:r>
          <w:rPr>
            <w:rStyle w:val="Hyperlink"/>
            <w:rFonts w:cs="Arial"/>
          </w:rPr>
          <w:t>dentons</w:t>
        </w:r>
        <w:r w:rsidRPr="006F275A">
          <w:rPr>
            <w:rStyle w:val="Hyperlink"/>
            <w:rFonts w:cs="Arial"/>
          </w:rPr>
          <w:t>.</w:t>
        </w:r>
        <w:r>
          <w:rPr>
            <w:rStyle w:val="Hyperlink"/>
            <w:rFonts w:cs="Arial"/>
          </w:rPr>
          <w:t>com</w:t>
        </w:r>
      </w:hyperlink>
    </w:p>
    <w:p w:rsidR="00F8635E" w:rsidRPr="006F275A" w:rsidRDefault="00F8635E" w:rsidP="00F8635E">
      <w:pPr>
        <w:jc w:val="both"/>
        <w:rPr>
          <w:rFonts w:cs="Arial"/>
          <w:color w:val="000000"/>
          <w:szCs w:val="20"/>
        </w:rPr>
      </w:pPr>
    </w:p>
    <w:p w:rsidR="00F8635E" w:rsidRPr="00353907" w:rsidRDefault="00F8635E" w:rsidP="00F8635E">
      <w:pPr>
        <w:jc w:val="both"/>
        <w:rPr>
          <w:rFonts w:cs="Arial"/>
          <w:color w:val="000000"/>
          <w:sz w:val="16"/>
          <w:szCs w:val="16"/>
        </w:rPr>
      </w:pPr>
      <w:r w:rsidRPr="00353907">
        <w:rPr>
          <w:rFonts w:cs="Arial"/>
          <w:color w:val="000000"/>
          <w:sz w:val="16"/>
          <w:szCs w:val="16"/>
        </w:rPr>
        <w:t>* 2016 The American Lawyer – Global 100 law firm ranking by number of lawyers.</w:t>
      </w:r>
    </w:p>
    <w:p w:rsidR="00F8635E" w:rsidRDefault="00F8635E">
      <w:pPr>
        <w:pStyle w:val="BodyText"/>
        <w:jc w:val="both"/>
      </w:pPr>
    </w:p>
    <w:sectPr w:rsidR="00F8635E" w:rsidSect="00C559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20" w:footer="5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3D" w:rsidRDefault="00F7535F">
      <w:r>
        <w:separator/>
      </w:r>
    </w:p>
  </w:endnote>
  <w:endnote w:type="continuationSeparator" w:id="0">
    <w:p w:rsidR="0091433D" w:rsidRDefault="00F7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5F" w:rsidRDefault="00F75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5F" w:rsidRDefault="00F7535F">
    <w:pPr>
      <w:pStyle w:val="Footer"/>
    </w:pPr>
  </w:p>
  <w:p w:rsidR="0018033C" w:rsidRDefault="0018033C">
    <w:pPr>
      <w:pStyle w:val="Footer"/>
    </w:pPr>
    <w:r>
      <w:fldChar w:fldCharType="begin"/>
    </w:r>
    <w:r w:rsidRPr="0018033C">
      <w:rPr>
        <w:rFonts w:ascii="Verdana" w:hAnsi="Verdana"/>
      </w:rPr>
      <w:instrText xml:space="preserve"> DOCPROPERTY ImanageFooterVariable </w:instrText>
    </w:r>
    <w:r>
      <w:fldChar w:fldCharType="separate"/>
    </w:r>
    <w:r w:rsidR="00C5599F">
      <w:rPr>
        <w:rFonts w:ascii="Verdana" w:hAnsi="Verdana"/>
      </w:rPr>
      <w:t>Moscow 5406208.1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3D" w:rsidRDefault="00F7535F">
    <w:pPr>
      <w:tabs>
        <w:tab w:val="right" w:pos="9000"/>
      </w:tabs>
    </w:pPr>
    <w:r>
      <w:tab/>
    </w:r>
    <w:r>
      <w:tab/>
    </w:r>
    <w:r>
      <w:rPr>
        <w:sz w:val="16"/>
      </w:rPr>
      <w:fldChar w:fldCharType="begin"/>
    </w:r>
    <w:r>
      <w:rPr>
        <w:sz w:val="16"/>
      </w:rPr>
      <w:instrText xml:space="preserve"> TITLE  \* MERGEFORMAT </w:instrText>
    </w:r>
    <w:r>
      <w:rPr>
        <w:sz w:val="16"/>
      </w:rPr>
      <w:fldChar w:fldCharType="separate"/>
    </w:r>
    <w:r>
      <w:rPr>
        <w:sz w:val="16"/>
      </w:rPr>
      <w:t>48624068.01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3D" w:rsidRDefault="00F7535F">
      <w:r>
        <w:separator/>
      </w:r>
    </w:p>
  </w:footnote>
  <w:footnote w:type="continuationSeparator" w:id="0">
    <w:p w:rsidR="0091433D" w:rsidRDefault="00F7535F">
      <w:r>
        <w:separator/>
      </w:r>
    </w:p>
    <w:p w:rsidR="0091433D" w:rsidRDefault="0091433D"/>
  </w:footnote>
  <w:footnote w:type="continuationNotice" w:id="1">
    <w:p w:rsidR="0091433D" w:rsidRDefault="00F7535F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5F" w:rsidRDefault="00F75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5F" w:rsidRDefault="00F753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5F" w:rsidRDefault="00F75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7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GB" w:vendorID="8" w:dllVersion="513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3D"/>
    <w:rsid w:val="0018033C"/>
    <w:rsid w:val="0091433D"/>
    <w:rsid w:val="00A24C86"/>
    <w:rsid w:val="00AE0121"/>
    <w:rsid w:val="00C5599F"/>
    <w:rsid w:val="00E30672"/>
    <w:rsid w:val="00E331CE"/>
    <w:rsid w:val="00ED5D56"/>
    <w:rsid w:val="00F7535F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abic Transparent"/>
      <w:szCs w:val="24"/>
      <w:lang w:eastAsia="en-US"/>
    </w:rPr>
  </w:style>
  <w:style w:type="paragraph" w:styleId="Heading1">
    <w:name w:val="heading 1"/>
    <w:basedOn w:val="BodyText"/>
    <w:next w:val="BodyText1"/>
    <w:qFormat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customStyle="1" w:styleId="BodyText1">
    <w:name w:val="Body Text 1"/>
    <w:basedOn w:val="BodyText"/>
    <w:pPr>
      <w:ind w:left="720"/>
    </w:p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720"/>
    </w:pPr>
  </w:style>
  <w:style w:type="paragraph" w:customStyle="1" w:styleId="Address">
    <w:name w:val="Address"/>
    <w:basedOn w:val="Normal"/>
    <w:rPr>
      <w:b/>
      <w:sz w:val="18"/>
    </w:rPr>
  </w:style>
  <w:style w:type="paragraph" w:customStyle="1" w:styleId="BodyText4">
    <w:name w:val="Body Text 4"/>
    <w:basedOn w:val="BodyText"/>
    <w:pPr>
      <w:ind w:left="1440"/>
    </w:pPr>
  </w:style>
  <w:style w:type="paragraph" w:customStyle="1" w:styleId="BodyText5">
    <w:name w:val="Body Text 5"/>
    <w:basedOn w:val="BodyText"/>
    <w:pPr>
      <w:ind w:left="2160"/>
    </w:pPr>
  </w:style>
  <w:style w:type="paragraph" w:customStyle="1" w:styleId="BodyText6">
    <w:name w:val="Body Text 6"/>
    <w:basedOn w:val="BodyText"/>
    <w:pPr>
      <w:ind w:left="2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ver1">
    <w:name w:val="Cover1"/>
    <w:basedOn w:val="Normal"/>
    <w:next w:val="Cover2"/>
    <w:rPr>
      <w:b/>
      <w:sz w:val="22"/>
    </w:rPr>
  </w:style>
  <w:style w:type="paragraph" w:customStyle="1" w:styleId="Cover2">
    <w:name w:val="Cover2"/>
    <w:basedOn w:val="Normal"/>
    <w:next w:val="Cover1"/>
    <w:autoRedefine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Leader">
    <w:name w:val="Leader"/>
    <w:basedOn w:val="BodyText"/>
    <w:next w:val="BodyText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</w:style>
  <w:style w:type="paragraph" w:customStyle="1" w:styleId="Parties">
    <w:name w:val="Parties"/>
    <w:basedOn w:val="BodyText"/>
    <w:pPr>
      <w:numPr>
        <w:numId w:val="5"/>
      </w:numPr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cital">
    <w:name w:val="Recital"/>
    <w:basedOn w:val="Normal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Level1">
    <w:name w:val="Level 1"/>
    <w:basedOn w:val="Normal"/>
    <w:next w:val="Normal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basedOn w:val="DefaultParagraphFont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basedOn w:val="DefaultParagraphFont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finition">
    <w:name w:val="Definition"/>
    <w:basedOn w:val="BodyText"/>
    <w:pPr>
      <w:numPr>
        <w:numId w:val="11"/>
      </w:numPr>
    </w:pPr>
  </w:style>
  <w:style w:type="paragraph" w:customStyle="1" w:styleId="Definitiona">
    <w:name w:val="Definition (a)"/>
    <w:basedOn w:val="BodyText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pPr>
      <w:numPr>
        <w:ilvl w:val="2"/>
        <w:numId w:val="11"/>
      </w:numPr>
    </w:pPr>
  </w:style>
  <w:style w:type="paragraph" w:customStyle="1" w:styleId="Firm">
    <w:name w:val="Firm"/>
    <w:basedOn w:val="Normal"/>
    <w:rPr>
      <w:sz w:val="14"/>
      <w:szCs w:val="18"/>
    </w:rPr>
  </w:style>
  <w:style w:type="character" w:customStyle="1" w:styleId="NoteChar">
    <w:name w:val="Note Char"/>
    <w:basedOn w:val="DefaultParagraphFont"/>
    <w:link w:val="Note"/>
    <w:uiPriority w:val="19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pPr>
      <w:tabs>
        <w:tab w:val="left" w:pos="288"/>
      </w:tabs>
      <w:spacing w:line="180" w:lineRule="exact"/>
    </w:pPr>
    <w:rPr>
      <w:rFonts w:asciiTheme="minorHAnsi" w:eastAsiaTheme="minorHAnsi" w:hAnsiTheme="minorHAnsi" w:cstheme="minorBidi"/>
      <w:sz w:val="14"/>
      <w:szCs w:val="15"/>
    </w:rPr>
  </w:style>
  <w:style w:type="paragraph" w:customStyle="1" w:styleId="Letterheadtel">
    <w:name w:val="Letterhead tel"/>
    <w:basedOn w:val="Letterhead"/>
    <w:uiPriority w:val="19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Pr>
      <w:b/>
      <w:bCs/>
      <w:color w:val="4F81BD" w:themeColor="accent1"/>
      <w:lang w:val="fr-FR"/>
    </w:rPr>
  </w:style>
  <w:style w:type="table" w:customStyle="1" w:styleId="TableGrid1">
    <w:name w:val="Table Grid1"/>
    <w:basedOn w:val="TableNormal"/>
    <w:next w:val="TableGrid"/>
    <w:uiPriority w:val="59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abic Transparent"/>
      <w:szCs w:val="24"/>
      <w:lang w:eastAsia="en-US"/>
    </w:rPr>
  </w:style>
  <w:style w:type="paragraph" w:styleId="Heading1">
    <w:name w:val="heading 1"/>
    <w:basedOn w:val="BodyText"/>
    <w:next w:val="BodyText1"/>
    <w:qFormat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customStyle="1" w:styleId="BodyText1">
    <w:name w:val="Body Text 1"/>
    <w:basedOn w:val="BodyText"/>
    <w:pPr>
      <w:ind w:left="720"/>
    </w:p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720"/>
    </w:pPr>
  </w:style>
  <w:style w:type="paragraph" w:customStyle="1" w:styleId="Address">
    <w:name w:val="Address"/>
    <w:basedOn w:val="Normal"/>
    <w:rPr>
      <w:b/>
      <w:sz w:val="18"/>
    </w:rPr>
  </w:style>
  <w:style w:type="paragraph" w:customStyle="1" w:styleId="BodyText4">
    <w:name w:val="Body Text 4"/>
    <w:basedOn w:val="BodyText"/>
    <w:pPr>
      <w:ind w:left="1440"/>
    </w:pPr>
  </w:style>
  <w:style w:type="paragraph" w:customStyle="1" w:styleId="BodyText5">
    <w:name w:val="Body Text 5"/>
    <w:basedOn w:val="BodyText"/>
    <w:pPr>
      <w:ind w:left="2160"/>
    </w:pPr>
  </w:style>
  <w:style w:type="paragraph" w:customStyle="1" w:styleId="BodyText6">
    <w:name w:val="Body Text 6"/>
    <w:basedOn w:val="BodyText"/>
    <w:pPr>
      <w:ind w:left="2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ver1">
    <w:name w:val="Cover1"/>
    <w:basedOn w:val="Normal"/>
    <w:next w:val="Cover2"/>
    <w:rPr>
      <w:b/>
      <w:sz w:val="22"/>
    </w:rPr>
  </w:style>
  <w:style w:type="paragraph" w:customStyle="1" w:styleId="Cover2">
    <w:name w:val="Cover2"/>
    <w:basedOn w:val="Normal"/>
    <w:next w:val="Cover1"/>
    <w:autoRedefine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Leader">
    <w:name w:val="Leader"/>
    <w:basedOn w:val="BodyText"/>
    <w:next w:val="BodyText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</w:style>
  <w:style w:type="paragraph" w:customStyle="1" w:styleId="Parties">
    <w:name w:val="Parties"/>
    <w:basedOn w:val="BodyText"/>
    <w:pPr>
      <w:numPr>
        <w:numId w:val="5"/>
      </w:numPr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cital">
    <w:name w:val="Recital"/>
    <w:basedOn w:val="Normal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Level1">
    <w:name w:val="Level 1"/>
    <w:basedOn w:val="Normal"/>
    <w:next w:val="Normal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basedOn w:val="DefaultParagraphFont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basedOn w:val="DefaultParagraphFont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finition">
    <w:name w:val="Definition"/>
    <w:basedOn w:val="BodyText"/>
    <w:pPr>
      <w:numPr>
        <w:numId w:val="11"/>
      </w:numPr>
    </w:pPr>
  </w:style>
  <w:style w:type="paragraph" w:customStyle="1" w:styleId="Definitiona">
    <w:name w:val="Definition (a)"/>
    <w:basedOn w:val="BodyText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pPr>
      <w:numPr>
        <w:ilvl w:val="2"/>
        <w:numId w:val="11"/>
      </w:numPr>
    </w:pPr>
  </w:style>
  <w:style w:type="paragraph" w:customStyle="1" w:styleId="Firm">
    <w:name w:val="Firm"/>
    <w:basedOn w:val="Normal"/>
    <w:rPr>
      <w:sz w:val="14"/>
      <w:szCs w:val="18"/>
    </w:rPr>
  </w:style>
  <w:style w:type="character" w:customStyle="1" w:styleId="NoteChar">
    <w:name w:val="Note Char"/>
    <w:basedOn w:val="DefaultParagraphFont"/>
    <w:link w:val="Note"/>
    <w:uiPriority w:val="19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pPr>
      <w:tabs>
        <w:tab w:val="left" w:pos="288"/>
      </w:tabs>
      <w:spacing w:line="180" w:lineRule="exact"/>
    </w:pPr>
    <w:rPr>
      <w:rFonts w:asciiTheme="minorHAnsi" w:eastAsiaTheme="minorHAnsi" w:hAnsiTheme="minorHAnsi" w:cstheme="minorBidi"/>
      <w:sz w:val="14"/>
      <w:szCs w:val="15"/>
    </w:rPr>
  </w:style>
  <w:style w:type="paragraph" w:customStyle="1" w:styleId="Letterheadtel">
    <w:name w:val="Letterhead tel"/>
    <w:basedOn w:val="Letterhead"/>
    <w:uiPriority w:val="19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Pr>
      <w:b/>
      <w:bCs/>
      <w:color w:val="4F81BD" w:themeColor="accent1"/>
      <w:lang w:val="fr-FR"/>
    </w:rPr>
  </w:style>
  <w:style w:type="table" w:customStyle="1" w:styleId="TableGrid1">
    <w:name w:val="Table Grid1"/>
    <w:basedOn w:val="TableNormal"/>
    <w:next w:val="TableGrid"/>
    <w:uiPriority w:val="59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ntons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ravo.ru/story/view/142721/?cl=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DB90-296C-4DF6-B6FF-B72B40E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Demicheva</cp:lastModifiedBy>
  <cp:revision>9</cp:revision>
  <dcterms:created xsi:type="dcterms:W3CDTF">2017-06-22T10:39:00Z</dcterms:created>
  <dcterms:modified xsi:type="dcterms:W3CDTF">2017-08-17T11:53:00Z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c1597ab2-3747-4e7c-8e41-1ca9b47db0fc</vt:lpwstr>
  </property>
  <property fmtid="{D5CDD505-2E9C-101B-9397-08002B2CF9AE}" pid="3" name="ImanageFooterVariable">
    <vt:lpwstr>Moscow 5406208.1</vt:lpwstr>
  </property>
</Properties>
</file>