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F51" w:rsidRPr="00D1437B" w:rsidRDefault="006C7F51" w:rsidP="00D1437B">
      <w:pPr>
        <w:pStyle w:val="a3"/>
        <w:shd w:val="clear" w:color="auto" w:fill="FFFFFF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  <w:r w:rsidRPr="00D1437B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IFLR1000 2015 ranks VEGAS LEX in more </w:t>
      </w:r>
      <w:r w:rsidR="00126B22" w:rsidRPr="00D1437B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categories</w:t>
      </w:r>
    </w:p>
    <w:p w:rsidR="006C7F51" w:rsidRPr="00D1437B" w:rsidRDefault="00060D25" w:rsidP="00D1437B">
      <w:pPr>
        <w:pStyle w:val="a3"/>
        <w:shd w:val="clear" w:color="auto" w:fill="FFFFFF"/>
        <w:jc w:val="both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  <w:r w:rsidRPr="00D1437B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VEGAS LEX, a leading Russian law firm, is ranked for the first time in the Energy and Mining categories in the 2015 edition of IFLR1000, a guide to the </w:t>
      </w:r>
      <w:proofErr w:type="gramStart"/>
      <w:r w:rsidRPr="00D1437B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world’s</w:t>
      </w:r>
      <w:proofErr w:type="gramEnd"/>
      <w:r w:rsidRPr="00D1437B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 leading financial law firms, released on </w:t>
      </w:r>
      <w:r w:rsidR="006C7F51" w:rsidRPr="00D1437B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June 15, 2015</w:t>
      </w:r>
      <w:r w:rsidRPr="00D1437B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, while Chairman of the Partners’ Council Albert Eganyan was noted as a leading lawyer in several industries and practice areas.</w:t>
      </w:r>
      <w:r w:rsidR="006C7F51" w:rsidRPr="00D1437B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 </w:t>
      </w:r>
    </w:p>
    <w:p w:rsidR="00060D25" w:rsidRPr="00D1437B" w:rsidRDefault="00060D25" w:rsidP="00D1437B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D1437B">
        <w:rPr>
          <w:rFonts w:ascii="Arial" w:hAnsi="Arial" w:cs="Arial"/>
          <w:color w:val="000000"/>
          <w:sz w:val="20"/>
          <w:szCs w:val="20"/>
          <w:lang w:val="en-US"/>
        </w:rPr>
        <w:t xml:space="preserve">In 2015, VEGAS LEX retained its last year’s positions and </w:t>
      </w:r>
      <w:proofErr w:type="gramStart"/>
      <w:r w:rsidRPr="00D1437B">
        <w:rPr>
          <w:rFonts w:ascii="Arial" w:hAnsi="Arial" w:cs="Arial"/>
          <w:color w:val="000000"/>
          <w:sz w:val="20"/>
          <w:szCs w:val="20"/>
          <w:lang w:val="en-US"/>
        </w:rPr>
        <w:t>was recommended</w:t>
      </w:r>
      <w:proofErr w:type="gramEnd"/>
      <w:r w:rsidRPr="00D1437B">
        <w:rPr>
          <w:rFonts w:ascii="Arial" w:hAnsi="Arial" w:cs="Arial"/>
          <w:color w:val="000000"/>
          <w:sz w:val="20"/>
          <w:szCs w:val="20"/>
          <w:lang w:val="en-US"/>
        </w:rPr>
        <w:t xml:space="preserve"> as a notable company in new categories of IFLR1000:</w:t>
      </w:r>
    </w:p>
    <w:p w:rsidR="00B35EE7" w:rsidRPr="00D1437B" w:rsidRDefault="00B35EE7" w:rsidP="00D1437B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sz w:val="20"/>
          <w:szCs w:val="20"/>
          <w:lang w:val="en-US"/>
        </w:rPr>
      </w:pPr>
      <w:r w:rsidRPr="00D1437B">
        <w:rPr>
          <w:rFonts w:ascii="Arial" w:hAnsi="Arial" w:cs="Arial"/>
          <w:sz w:val="20"/>
          <w:szCs w:val="20"/>
          <w:lang w:val="en-US"/>
        </w:rPr>
        <w:t>Project finance</w:t>
      </w:r>
    </w:p>
    <w:p w:rsidR="00B35EE7" w:rsidRPr="00D1437B" w:rsidRDefault="00B35EE7" w:rsidP="00D1437B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sz w:val="20"/>
          <w:szCs w:val="20"/>
          <w:lang w:val="en-US"/>
        </w:rPr>
      </w:pPr>
      <w:r w:rsidRPr="00D1437B">
        <w:rPr>
          <w:rFonts w:ascii="Arial" w:hAnsi="Arial" w:cs="Arial"/>
          <w:sz w:val="20"/>
          <w:szCs w:val="20"/>
          <w:lang w:val="en-US"/>
        </w:rPr>
        <w:t>Mergers and acquisitions</w:t>
      </w:r>
    </w:p>
    <w:p w:rsidR="00B35EE7" w:rsidRPr="00D1437B" w:rsidRDefault="00B35EE7" w:rsidP="00D1437B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sz w:val="20"/>
          <w:szCs w:val="20"/>
          <w:lang w:val="en-US"/>
        </w:rPr>
      </w:pPr>
      <w:r w:rsidRPr="00D1437B">
        <w:rPr>
          <w:rFonts w:ascii="Arial" w:hAnsi="Arial" w:cs="Arial"/>
          <w:sz w:val="20"/>
          <w:szCs w:val="20"/>
          <w:lang w:val="en-US"/>
        </w:rPr>
        <w:t>Restructuring and insolvency</w:t>
      </w:r>
    </w:p>
    <w:p w:rsidR="00B35EE7" w:rsidRPr="00D1437B" w:rsidRDefault="00B35EE7" w:rsidP="00D1437B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sz w:val="20"/>
          <w:szCs w:val="20"/>
          <w:lang w:val="en-US"/>
        </w:rPr>
      </w:pPr>
      <w:r w:rsidRPr="00D1437B">
        <w:rPr>
          <w:rFonts w:ascii="Arial" w:hAnsi="Arial" w:cs="Arial"/>
          <w:sz w:val="20"/>
          <w:szCs w:val="20"/>
          <w:lang w:val="en-US"/>
        </w:rPr>
        <w:t>Capital markets: Equity</w:t>
      </w:r>
    </w:p>
    <w:p w:rsidR="00B35EE7" w:rsidRPr="00D1437B" w:rsidRDefault="00B35EE7" w:rsidP="00D1437B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sz w:val="20"/>
          <w:szCs w:val="20"/>
          <w:lang w:val="en-US"/>
        </w:rPr>
      </w:pPr>
      <w:r w:rsidRPr="00D1437B">
        <w:rPr>
          <w:rFonts w:ascii="Arial" w:hAnsi="Arial" w:cs="Arial"/>
          <w:sz w:val="20"/>
          <w:szCs w:val="20"/>
          <w:lang w:val="en-US"/>
        </w:rPr>
        <w:t>Capital markets: Debt</w:t>
      </w:r>
    </w:p>
    <w:p w:rsidR="00060D25" w:rsidRPr="00D1437B" w:rsidRDefault="00060D25" w:rsidP="00D1437B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D1437B">
        <w:rPr>
          <w:rFonts w:ascii="Arial" w:hAnsi="Arial" w:cs="Arial"/>
          <w:color w:val="000000"/>
          <w:sz w:val="20"/>
          <w:szCs w:val="20"/>
          <w:lang w:val="en-US"/>
        </w:rPr>
        <w:t xml:space="preserve">The IFLR1000 rankings in the </w:t>
      </w:r>
      <w:r w:rsidRPr="00D1437B">
        <w:rPr>
          <w:rFonts w:ascii="Arial" w:hAnsi="Arial" w:cs="Arial"/>
          <w:color w:val="636F78"/>
          <w:sz w:val="20"/>
          <w:szCs w:val="20"/>
          <w:lang w:val="en-US"/>
        </w:rPr>
        <w:t>Energy and infrastructure</w:t>
      </w:r>
      <w:r w:rsidRPr="00D1437B">
        <w:rPr>
          <w:rFonts w:ascii="Arial" w:hAnsi="Arial" w:cs="Arial"/>
          <w:color w:val="000000"/>
          <w:sz w:val="20"/>
          <w:szCs w:val="20"/>
          <w:lang w:val="en-US"/>
        </w:rPr>
        <w:t xml:space="preserve"> category </w:t>
      </w:r>
      <w:proofErr w:type="gramStart"/>
      <w:r w:rsidRPr="00D1437B">
        <w:rPr>
          <w:rFonts w:ascii="Arial" w:hAnsi="Arial" w:cs="Arial"/>
          <w:color w:val="000000"/>
          <w:sz w:val="20"/>
          <w:szCs w:val="20"/>
          <w:lang w:val="en-US"/>
        </w:rPr>
        <w:t>were published</w:t>
      </w:r>
      <w:proofErr w:type="gramEnd"/>
      <w:r w:rsidRPr="00D1437B">
        <w:rPr>
          <w:rFonts w:ascii="Arial" w:hAnsi="Arial" w:cs="Arial"/>
          <w:color w:val="000000"/>
          <w:sz w:val="20"/>
          <w:szCs w:val="20"/>
          <w:lang w:val="en-US"/>
        </w:rPr>
        <w:t xml:space="preserve"> on June 15, with VEGAS LEX recommended </w:t>
      </w:r>
      <w:r w:rsidRPr="00D1437B">
        <w:rPr>
          <w:rFonts w:ascii="Arial" w:hAnsi="Arial" w:cs="Arial"/>
          <w:b/>
          <w:color w:val="000000"/>
          <w:sz w:val="20"/>
          <w:szCs w:val="20"/>
          <w:lang w:val="en-US"/>
        </w:rPr>
        <w:t>for the first time</w:t>
      </w:r>
      <w:r w:rsidRPr="00D1437B">
        <w:rPr>
          <w:rFonts w:ascii="Arial" w:hAnsi="Arial" w:cs="Arial"/>
          <w:color w:val="000000"/>
          <w:sz w:val="20"/>
          <w:szCs w:val="20"/>
          <w:lang w:val="en-US"/>
        </w:rPr>
        <w:t xml:space="preserve"> in both of the subcategories.</w:t>
      </w:r>
    </w:p>
    <w:p w:rsidR="00B35EE7" w:rsidRPr="00D1437B" w:rsidRDefault="00B35EE7" w:rsidP="00D1437B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sz w:val="20"/>
          <w:szCs w:val="20"/>
          <w:lang w:val="en-US"/>
        </w:rPr>
      </w:pPr>
      <w:r w:rsidRPr="00D1437B">
        <w:rPr>
          <w:rFonts w:ascii="Arial" w:hAnsi="Arial" w:cs="Arial"/>
          <w:sz w:val="20"/>
          <w:szCs w:val="20"/>
          <w:lang w:val="en-US"/>
        </w:rPr>
        <w:t>Energy</w:t>
      </w:r>
    </w:p>
    <w:p w:rsidR="00B35EE7" w:rsidRPr="00D1437B" w:rsidRDefault="00B35EE7" w:rsidP="00D1437B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sz w:val="20"/>
          <w:szCs w:val="20"/>
          <w:lang w:val="en-US"/>
        </w:rPr>
      </w:pPr>
      <w:r w:rsidRPr="00D1437B">
        <w:rPr>
          <w:rFonts w:ascii="Arial" w:hAnsi="Arial" w:cs="Arial"/>
          <w:sz w:val="20"/>
          <w:szCs w:val="20"/>
          <w:lang w:val="en-US"/>
        </w:rPr>
        <w:t>Mining</w:t>
      </w:r>
    </w:p>
    <w:p w:rsidR="00B35EE7" w:rsidRPr="00D1437B" w:rsidRDefault="00060D25" w:rsidP="00D1437B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proofErr w:type="gramStart"/>
      <w:r w:rsidRPr="00D1437B">
        <w:rPr>
          <w:rFonts w:ascii="Arial" w:hAnsi="Arial" w:cs="Arial"/>
          <w:color w:val="000000"/>
          <w:sz w:val="20"/>
          <w:szCs w:val="20"/>
          <w:lang w:val="en-US"/>
        </w:rPr>
        <w:t>Chairman</w:t>
      </w:r>
      <w:proofErr w:type="gramEnd"/>
      <w:r w:rsidRPr="00D1437B">
        <w:rPr>
          <w:rFonts w:ascii="Arial" w:hAnsi="Arial" w:cs="Arial"/>
          <w:color w:val="000000"/>
          <w:sz w:val="20"/>
          <w:szCs w:val="20"/>
          <w:lang w:val="en-US"/>
        </w:rPr>
        <w:t xml:space="preserve"> of the Partners’ Council </w:t>
      </w:r>
      <w:hyperlink r:id="rId5" w:tgtFrame="_blank" w:history="1">
        <w:r w:rsidRPr="00D1437B">
          <w:rPr>
            <w:rStyle w:val="a4"/>
            <w:rFonts w:ascii="Arial" w:hAnsi="Arial" w:cs="Arial"/>
            <w:color w:val="660099"/>
            <w:sz w:val="20"/>
            <w:szCs w:val="20"/>
            <w:lang w:val="en-US"/>
          </w:rPr>
          <w:t>Albert Eganyan</w:t>
        </w:r>
      </w:hyperlink>
      <w:r w:rsidRPr="00D1437B">
        <w:rPr>
          <w:rFonts w:ascii="Arial" w:hAnsi="Arial" w:cs="Arial"/>
          <w:color w:val="000000"/>
          <w:sz w:val="20"/>
          <w:szCs w:val="20"/>
          <w:lang w:val="en-US"/>
        </w:rPr>
        <w:t xml:space="preserve"> was noted as a leading expert:</w:t>
      </w:r>
    </w:p>
    <w:p w:rsidR="00B35EE7" w:rsidRPr="00D1437B" w:rsidRDefault="00060D25" w:rsidP="00D1437B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sz w:val="20"/>
          <w:szCs w:val="20"/>
          <w:lang w:val="en-US"/>
        </w:rPr>
      </w:pPr>
      <w:r w:rsidRPr="00D1437B">
        <w:rPr>
          <w:rFonts w:ascii="Arial" w:hAnsi="Arial" w:cs="Arial"/>
          <w:sz w:val="20"/>
          <w:szCs w:val="20"/>
          <w:lang w:val="en-US"/>
        </w:rPr>
        <w:t>in the following industries</w:t>
      </w:r>
      <w:r w:rsidR="00B35EE7" w:rsidRPr="00D1437B">
        <w:rPr>
          <w:rFonts w:ascii="Arial" w:hAnsi="Arial" w:cs="Arial"/>
          <w:sz w:val="20"/>
          <w:szCs w:val="20"/>
          <w:lang w:val="en-US"/>
        </w:rPr>
        <w:t>:</w:t>
      </w:r>
      <w:r w:rsidR="00B35EE7" w:rsidRPr="00D1437B">
        <w:rPr>
          <w:rFonts w:ascii="Arial" w:hAnsi="Arial" w:cs="Arial"/>
          <w:sz w:val="20"/>
          <w:szCs w:val="20"/>
        </w:rPr>
        <w:t> </w:t>
      </w:r>
      <w:r w:rsidRPr="00D1437B">
        <w:rPr>
          <w:rFonts w:ascii="Arial" w:hAnsi="Arial" w:cs="Arial"/>
          <w:sz w:val="20"/>
          <w:szCs w:val="20"/>
          <w:lang w:val="en-US"/>
        </w:rPr>
        <w:t>transport</w:t>
      </w:r>
      <w:r w:rsidR="00B35EE7" w:rsidRPr="00D1437B">
        <w:rPr>
          <w:rFonts w:ascii="Arial" w:hAnsi="Arial" w:cs="Arial"/>
          <w:sz w:val="20"/>
          <w:szCs w:val="20"/>
          <w:lang w:val="en-US"/>
        </w:rPr>
        <w:t>,</w:t>
      </w:r>
      <w:r w:rsidR="00B35EE7" w:rsidRPr="00D1437B">
        <w:rPr>
          <w:rFonts w:ascii="Arial" w:hAnsi="Arial" w:cs="Arial"/>
          <w:sz w:val="20"/>
          <w:szCs w:val="20"/>
        </w:rPr>
        <w:t> </w:t>
      </w:r>
      <w:r w:rsidR="00B35EE7" w:rsidRPr="00D1437B">
        <w:rPr>
          <w:rFonts w:ascii="Arial" w:hAnsi="Arial" w:cs="Arial"/>
          <w:sz w:val="20"/>
          <w:szCs w:val="20"/>
          <w:lang w:val="en-US"/>
        </w:rPr>
        <w:t xml:space="preserve">utilities, </w:t>
      </w:r>
      <w:r w:rsidRPr="00D1437B">
        <w:rPr>
          <w:rFonts w:ascii="Arial" w:hAnsi="Arial" w:cs="Arial"/>
          <w:sz w:val="20"/>
          <w:szCs w:val="20"/>
          <w:lang w:val="en-US"/>
        </w:rPr>
        <w:t>energy</w:t>
      </w:r>
      <w:r w:rsidR="00B35EE7" w:rsidRPr="00D1437B">
        <w:rPr>
          <w:rFonts w:ascii="Arial" w:hAnsi="Arial" w:cs="Arial"/>
          <w:sz w:val="20"/>
          <w:szCs w:val="20"/>
          <w:lang w:val="en-US"/>
        </w:rPr>
        <w:t xml:space="preserve">, </w:t>
      </w:r>
      <w:r w:rsidRPr="00D1437B">
        <w:rPr>
          <w:rFonts w:ascii="Arial" w:hAnsi="Arial" w:cs="Arial"/>
          <w:sz w:val="20"/>
          <w:szCs w:val="20"/>
          <w:lang w:val="en-US"/>
        </w:rPr>
        <w:t>mining</w:t>
      </w:r>
      <w:r w:rsidR="00B35EE7" w:rsidRPr="00D1437B">
        <w:rPr>
          <w:rFonts w:ascii="Arial" w:hAnsi="Arial" w:cs="Arial"/>
          <w:sz w:val="20"/>
          <w:szCs w:val="20"/>
          <w:lang w:val="en-US"/>
        </w:rPr>
        <w:t xml:space="preserve">, </w:t>
      </w:r>
      <w:r w:rsidRPr="00D1437B">
        <w:rPr>
          <w:rFonts w:ascii="Arial" w:hAnsi="Arial" w:cs="Arial"/>
          <w:sz w:val="20"/>
          <w:szCs w:val="20"/>
          <w:lang w:val="en-US"/>
        </w:rPr>
        <w:t>natural resources</w:t>
      </w:r>
      <w:r w:rsidR="00B35EE7" w:rsidRPr="00D1437B">
        <w:rPr>
          <w:rFonts w:ascii="Arial" w:hAnsi="Arial" w:cs="Arial"/>
          <w:sz w:val="20"/>
          <w:szCs w:val="20"/>
          <w:lang w:val="en-US"/>
        </w:rPr>
        <w:t xml:space="preserve">, </w:t>
      </w:r>
      <w:r w:rsidRPr="00D1437B">
        <w:rPr>
          <w:rFonts w:ascii="Arial" w:hAnsi="Arial" w:cs="Arial"/>
          <w:sz w:val="20"/>
          <w:szCs w:val="20"/>
          <w:lang w:val="en-US"/>
        </w:rPr>
        <w:t>oil and gas</w:t>
      </w:r>
      <w:r w:rsidR="00B35EE7" w:rsidRPr="00D1437B">
        <w:rPr>
          <w:rFonts w:ascii="Arial" w:hAnsi="Arial" w:cs="Arial"/>
          <w:sz w:val="20"/>
          <w:szCs w:val="20"/>
          <w:lang w:val="en-US"/>
        </w:rPr>
        <w:t xml:space="preserve">, </w:t>
      </w:r>
      <w:r w:rsidRPr="00D1437B">
        <w:rPr>
          <w:rFonts w:ascii="Arial" w:hAnsi="Arial" w:cs="Arial"/>
          <w:sz w:val="20"/>
          <w:szCs w:val="20"/>
          <w:lang w:val="en-US"/>
        </w:rPr>
        <w:t>and social infrastructure</w:t>
      </w:r>
    </w:p>
    <w:p w:rsidR="00B35EE7" w:rsidRPr="00D1437B" w:rsidRDefault="00060D25" w:rsidP="00D1437B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sz w:val="20"/>
          <w:szCs w:val="20"/>
          <w:lang w:val="en-US"/>
        </w:rPr>
      </w:pPr>
      <w:r w:rsidRPr="00D1437B">
        <w:rPr>
          <w:rFonts w:ascii="Arial" w:hAnsi="Arial" w:cs="Arial"/>
          <w:sz w:val="20"/>
          <w:szCs w:val="20"/>
          <w:lang w:val="en-US"/>
        </w:rPr>
        <w:lastRenderedPageBreak/>
        <w:t>in the following practice areas</w:t>
      </w:r>
      <w:r w:rsidR="00B35EE7" w:rsidRPr="00D1437B">
        <w:rPr>
          <w:rFonts w:ascii="Arial" w:hAnsi="Arial" w:cs="Arial"/>
          <w:sz w:val="20"/>
          <w:szCs w:val="20"/>
          <w:lang w:val="en-US"/>
        </w:rPr>
        <w:t xml:space="preserve">: </w:t>
      </w:r>
      <w:r w:rsidRPr="00D1437B">
        <w:rPr>
          <w:rFonts w:ascii="Arial" w:hAnsi="Arial" w:cs="Arial"/>
          <w:sz w:val="20"/>
          <w:szCs w:val="20"/>
          <w:lang w:val="en-US"/>
        </w:rPr>
        <w:t>Energy and Infrastructure</w:t>
      </w:r>
      <w:r w:rsidR="00B35EE7" w:rsidRPr="00D1437B">
        <w:rPr>
          <w:rFonts w:ascii="Arial" w:hAnsi="Arial" w:cs="Arial"/>
          <w:sz w:val="20"/>
          <w:szCs w:val="20"/>
          <w:lang w:val="en-US"/>
        </w:rPr>
        <w:t xml:space="preserve">, </w:t>
      </w:r>
      <w:r w:rsidRPr="00D1437B">
        <w:rPr>
          <w:rFonts w:ascii="Arial" w:hAnsi="Arial" w:cs="Arial"/>
          <w:sz w:val="20"/>
          <w:szCs w:val="20"/>
          <w:lang w:val="en-US"/>
        </w:rPr>
        <w:t>PPP and Private Financial Initiative</w:t>
      </w:r>
      <w:r w:rsidR="00B35EE7" w:rsidRPr="00D1437B">
        <w:rPr>
          <w:rFonts w:ascii="Arial" w:hAnsi="Arial" w:cs="Arial"/>
          <w:sz w:val="20"/>
          <w:szCs w:val="20"/>
          <w:lang w:val="en-US"/>
        </w:rPr>
        <w:t xml:space="preserve">, </w:t>
      </w:r>
      <w:r w:rsidRPr="00D1437B">
        <w:rPr>
          <w:rFonts w:ascii="Arial" w:hAnsi="Arial" w:cs="Arial"/>
          <w:sz w:val="20"/>
          <w:szCs w:val="20"/>
          <w:lang w:val="en-US"/>
        </w:rPr>
        <w:t>Project Development</w:t>
      </w:r>
      <w:r w:rsidR="00B35EE7" w:rsidRPr="00D1437B">
        <w:rPr>
          <w:rFonts w:ascii="Arial" w:hAnsi="Arial" w:cs="Arial"/>
          <w:sz w:val="20"/>
          <w:szCs w:val="20"/>
          <w:lang w:val="en-US"/>
        </w:rPr>
        <w:t xml:space="preserve">, </w:t>
      </w:r>
      <w:r w:rsidRPr="00D1437B">
        <w:rPr>
          <w:rFonts w:ascii="Arial" w:hAnsi="Arial" w:cs="Arial"/>
          <w:sz w:val="20"/>
          <w:szCs w:val="20"/>
          <w:lang w:val="en-US"/>
        </w:rPr>
        <w:t>Project Finance</w:t>
      </w:r>
    </w:p>
    <w:p w:rsidR="00B35EE7" w:rsidRPr="00D1437B" w:rsidRDefault="00060D25" w:rsidP="00D1437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D1437B">
        <w:rPr>
          <w:rFonts w:ascii="Arial" w:hAnsi="Arial" w:cs="Arial"/>
          <w:color w:val="000000"/>
          <w:sz w:val="20"/>
          <w:szCs w:val="20"/>
          <w:lang w:val="en-US"/>
        </w:rPr>
        <w:t>Below are some of the quotes from the IFLR1000 Review</w:t>
      </w:r>
      <w:r w:rsidR="00B35EE7" w:rsidRPr="00D1437B">
        <w:rPr>
          <w:rFonts w:ascii="Arial" w:hAnsi="Arial" w:cs="Arial"/>
          <w:color w:val="000000"/>
          <w:sz w:val="20"/>
          <w:szCs w:val="20"/>
          <w:lang w:val="en-US"/>
        </w:rPr>
        <w:t>:</w:t>
      </w:r>
    </w:p>
    <w:p w:rsidR="00B35EE7" w:rsidRPr="00D1437B" w:rsidRDefault="00D1437B" w:rsidP="00D1437B">
      <w:pPr>
        <w:pStyle w:val="a3"/>
        <w:shd w:val="clear" w:color="auto" w:fill="FFFFFF"/>
        <w:jc w:val="both"/>
        <w:rPr>
          <w:rFonts w:ascii="Arial" w:hAnsi="Arial" w:cs="Arial"/>
          <w:i/>
          <w:color w:val="000000"/>
          <w:sz w:val="20"/>
          <w:szCs w:val="20"/>
          <w:lang w:val="en-US"/>
        </w:rPr>
      </w:pPr>
      <w:r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en-US"/>
        </w:rPr>
        <w:t>"VEGAS LEX</w:t>
      </w:r>
      <w:r w:rsidR="00B35EE7" w:rsidRPr="00D1437B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en-US"/>
        </w:rPr>
        <w:t xml:space="preserve"> is one of the leading Russian firms for local law advice on infrastructure PPP (public-private partnership) projects, where it is typically mandated on the side of the state</w:t>
      </w:r>
      <w:r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en-US"/>
        </w:rPr>
        <w:t>"</w:t>
      </w:r>
      <w:r w:rsidR="00B35EE7" w:rsidRPr="00D1437B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en-US"/>
        </w:rPr>
        <w:t>. </w:t>
      </w:r>
    </w:p>
    <w:p w:rsidR="00B35EE7" w:rsidRPr="00D1437B" w:rsidRDefault="00D1437B" w:rsidP="00D1437B">
      <w:pPr>
        <w:pStyle w:val="a3"/>
        <w:shd w:val="clear" w:color="auto" w:fill="FFFFFF"/>
        <w:jc w:val="both"/>
        <w:rPr>
          <w:rFonts w:ascii="Arial" w:hAnsi="Arial" w:cs="Arial"/>
          <w:i/>
          <w:color w:val="000000"/>
          <w:sz w:val="20"/>
          <w:szCs w:val="20"/>
          <w:lang w:val="en-US"/>
        </w:rPr>
      </w:pPr>
      <w:r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en-US"/>
        </w:rPr>
        <w:t>"</w:t>
      </w:r>
      <w:r w:rsidR="00B35EE7" w:rsidRPr="00D1437B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en-US"/>
        </w:rPr>
        <w:t>One client who worked with the firm on a transport project says: “Very good expertise in all relevant areas. Very good knowledge of local authorities. Very good connections with the government structures.</w:t>
      </w:r>
      <w:r w:rsidR="00B35EE7" w:rsidRPr="00D1437B">
        <w:rPr>
          <w:rStyle w:val="apple-converted-space"/>
          <w:rFonts w:ascii="Arial" w:hAnsi="Arial" w:cs="Arial"/>
          <w:i/>
          <w:color w:val="000000"/>
          <w:sz w:val="20"/>
          <w:szCs w:val="20"/>
          <w:shd w:val="clear" w:color="auto" w:fill="FFFFFF"/>
          <w:lang w:val="en-US"/>
        </w:rPr>
        <w:t> </w:t>
      </w:r>
      <w:r w:rsidR="00B35EE7" w:rsidRPr="00D1437B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en-US"/>
        </w:rPr>
        <w:t>Extremely well developed road map, which has really helped</w:t>
      </w:r>
      <w:r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en-US"/>
        </w:rPr>
        <w:t>"".</w:t>
      </w:r>
    </w:p>
    <w:p w:rsidR="00D1437B" w:rsidRPr="00D1437B" w:rsidRDefault="00B35EE7" w:rsidP="00D1437B">
      <w:pPr>
        <w:spacing w:line="240" w:lineRule="auto"/>
        <w:jc w:val="both"/>
        <w:rPr>
          <w:rFonts w:ascii="Arial" w:hAnsi="Arial" w:cs="Arial"/>
          <w:i/>
          <w:iCs/>
          <w:color w:val="636F78"/>
          <w:sz w:val="20"/>
          <w:szCs w:val="20"/>
          <w:lang w:val="en-US"/>
        </w:rPr>
      </w:pPr>
      <w:r w:rsidRPr="00D1437B">
        <w:rPr>
          <w:rFonts w:ascii="Arial" w:hAnsi="Arial" w:cs="Arial"/>
          <w:i/>
          <w:iCs/>
          <w:color w:val="636F78"/>
          <w:sz w:val="20"/>
          <w:szCs w:val="20"/>
          <w:lang w:val="en-US"/>
        </w:rPr>
        <w:t>***</w:t>
      </w:r>
    </w:p>
    <w:p w:rsidR="00DB2011" w:rsidRPr="00D1437B" w:rsidRDefault="00DB2011" w:rsidP="00D1437B">
      <w:pPr>
        <w:spacing w:line="240" w:lineRule="auto"/>
        <w:jc w:val="both"/>
        <w:rPr>
          <w:rFonts w:ascii="Arial" w:eastAsia="Times New Roman" w:hAnsi="Arial" w:cs="Arial"/>
          <w:i/>
          <w:iCs/>
          <w:color w:val="636F78"/>
          <w:sz w:val="20"/>
          <w:szCs w:val="20"/>
          <w:lang w:val="en-US" w:eastAsia="ru-RU"/>
        </w:rPr>
      </w:pPr>
      <w:proofErr w:type="gramStart"/>
      <w:r w:rsidRPr="00D1437B">
        <w:rPr>
          <w:rFonts w:ascii="Arial" w:eastAsia="Times New Roman" w:hAnsi="Arial" w:cs="Arial"/>
          <w:i/>
          <w:iCs/>
          <w:color w:val="636F78"/>
          <w:sz w:val="20"/>
          <w:szCs w:val="20"/>
          <w:lang w:val="en-US" w:eastAsia="ru-RU"/>
        </w:rPr>
        <w:t>VEGAS LEX's expertise has been recognized by IFLR1000 guide to the world's leading financial</w:t>
      </w:r>
      <w:proofErr w:type="gramEnd"/>
      <w:r w:rsidRPr="00D1437B">
        <w:rPr>
          <w:rFonts w:ascii="Arial" w:eastAsia="Times New Roman" w:hAnsi="Arial" w:cs="Arial"/>
          <w:i/>
          <w:iCs/>
          <w:color w:val="636F78"/>
          <w:sz w:val="20"/>
          <w:szCs w:val="20"/>
          <w:lang w:val="en-US" w:eastAsia="ru-RU"/>
        </w:rPr>
        <w:t xml:space="preserve"> and corporate law firms since 2010, when the Russian company first applied for the ranking. IFLR experts thoroughly research the market and players. The firms featured in the guide </w:t>
      </w:r>
      <w:proofErr w:type="gramStart"/>
      <w:r w:rsidRPr="00D1437B">
        <w:rPr>
          <w:rFonts w:ascii="Arial" w:eastAsia="Times New Roman" w:hAnsi="Arial" w:cs="Arial"/>
          <w:i/>
          <w:iCs/>
          <w:color w:val="636F78"/>
          <w:sz w:val="20"/>
          <w:szCs w:val="20"/>
          <w:lang w:val="en-US" w:eastAsia="ru-RU"/>
        </w:rPr>
        <w:t>are asked</w:t>
      </w:r>
      <w:proofErr w:type="gramEnd"/>
      <w:r w:rsidRPr="00D1437B">
        <w:rPr>
          <w:rFonts w:ascii="Arial" w:eastAsia="Times New Roman" w:hAnsi="Arial" w:cs="Arial"/>
          <w:i/>
          <w:iCs/>
          <w:color w:val="636F78"/>
          <w:sz w:val="20"/>
          <w:szCs w:val="20"/>
          <w:lang w:val="en-US" w:eastAsia="ru-RU"/>
        </w:rPr>
        <w:t xml:space="preserve"> to supply information on their separate practices, on specific sectors and regions, on the most recent changes in the law that can influence the global business level. IFLR rankings </w:t>
      </w:r>
      <w:proofErr w:type="gramStart"/>
      <w:r w:rsidRPr="00D1437B">
        <w:rPr>
          <w:rFonts w:ascii="Arial" w:eastAsia="Times New Roman" w:hAnsi="Arial" w:cs="Arial"/>
          <w:i/>
          <w:iCs/>
          <w:color w:val="636F78"/>
          <w:sz w:val="20"/>
          <w:szCs w:val="20"/>
          <w:lang w:val="en-US" w:eastAsia="ru-RU"/>
        </w:rPr>
        <w:t>are distributed</w:t>
      </w:r>
      <w:proofErr w:type="gramEnd"/>
      <w:r w:rsidRPr="00D1437B">
        <w:rPr>
          <w:rFonts w:ascii="Arial" w:eastAsia="Times New Roman" w:hAnsi="Arial" w:cs="Arial"/>
          <w:i/>
          <w:iCs/>
          <w:color w:val="636F78"/>
          <w:sz w:val="20"/>
          <w:szCs w:val="20"/>
          <w:lang w:val="en-US" w:eastAsia="ru-RU"/>
        </w:rPr>
        <w:t xml:space="preserve"> to subscribers and are available online.</w:t>
      </w:r>
    </w:p>
    <w:p w:rsidR="00DB2011" w:rsidRPr="00B35EE7" w:rsidRDefault="00DB2011" w:rsidP="00D1437B">
      <w:pPr>
        <w:pStyle w:val="a3"/>
        <w:shd w:val="clear" w:color="auto" w:fill="FFFFFF"/>
        <w:jc w:val="both"/>
        <w:rPr>
          <w:sz w:val="28"/>
          <w:szCs w:val="28"/>
          <w:lang w:val="en-US"/>
        </w:rPr>
      </w:pPr>
      <w:r w:rsidRPr="00D1437B">
        <w:rPr>
          <w:rFonts w:ascii="Arial" w:hAnsi="Arial" w:cs="Arial"/>
          <w:i/>
          <w:iCs/>
          <w:color w:val="636F78"/>
          <w:sz w:val="20"/>
          <w:szCs w:val="20"/>
          <w:lang w:val="en-US"/>
        </w:rPr>
        <w:t xml:space="preserve">The company’s profile in above categories was compiled </w:t>
      </w:r>
      <w:proofErr w:type="gramStart"/>
      <w:r w:rsidRPr="00D1437B">
        <w:rPr>
          <w:rFonts w:ascii="Arial" w:hAnsi="Arial" w:cs="Arial"/>
          <w:i/>
          <w:iCs/>
          <w:color w:val="636F78"/>
          <w:sz w:val="20"/>
          <w:szCs w:val="20"/>
          <w:lang w:val="en-US"/>
        </w:rPr>
        <w:t>on the basis of</w:t>
      </w:r>
      <w:proofErr w:type="gramEnd"/>
      <w:r w:rsidRPr="00D1437B">
        <w:rPr>
          <w:rFonts w:ascii="Arial" w:hAnsi="Arial" w:cs="Arial"/>
          <w:i/>
          <w:iCs/>
          <w:color w:val="636F78"/>
          <w:sz w:val="20"/>
          <w:szCs w:val="20"/>
          <w:lang w:val="en-US"/>
        </w:rPr>
        <w:t xml:space="preserve"> </w:t>
      </w:r>
      <w:hyperlink r:id="rId6" w:history="1">
        <w:proofErr w:type="spellStart"/>
        <w:r w:rsidRPr="00D1437B">
          <w:rPr>
            <w:rStyle w:val="a4"/>
            <w:rFonts w:ascii="Arial" w:hAnsi="Arial" w:cs="Arial"/>
            <w:i/>
            <w:sz w:val="20"/>
            <w:szCs w:val="20"/>
            <w:lang w:val="en-US"/>
          </w:rPr>
          <w:t>Dealogic</w:t>
        </w:r>
        <w:proofErr w:type="spellEnd"/>
      </w:hyperlink>
      <w:r w:rsidRPr="00D1437B">
        <w:rPr>
          <w:rStyle w:val="a4"/>
          <w:rFonts w:ascii="Arial" w:hAnsi="Arial" w:cs="Arial"/>
          <w:sz w:val="20"/>
          <w:szCs w:val="20"/>
          <w:lang w:val="en-US"/>
        </w:rPr>
        <w:t xml:space="preserve"> </w:t>
      </w:r>
      <w:r w:rsidRPr="00D1437B">
        <w:rPr>
          <w:rFonts w:ascii="Arial" w:hAnsi="Arial" w:cs="Arial"/>
          <w:i/>
          <w:iCs/>
          <w:color w:val="636F78"/>
          <w:sz w:val="20"/>
          <w:szCs w:val="20"/>
          <w:lang w:val="en-US"/>
        </w:rPr>
        <w:t>statistics, the opinions of its partners and rivals, and client reviews</w:t>
      </w:r>
      <w:r w:rsidRPr="00D1437B">
        <w:rPr>
          <w:rFonts w:ascii="Arial" w:hAnsi="Arial" w:cs="Arial"/>
          <w:color w:val="000000"/>
          <w:sz w:val="20"/>
          <w:szCs w:val="20"/>
          <w:lang w:val="en-US" w:eastAsia="en-US"/>
        </w:rPr>
        <w:t>.</w:t>
      </w:r>
      <w:bookmarkStart w:id="0" w:name="_GoBack"/>
      <w:bookmarkEnd w:id="0"/>
    </w:p>
    <w:sectPr w:rsidR="00DB2011" w:rsidRPr="00B35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557556"/>
    <w:multiLevelType w:val="hybridMultilevel"/>
    <w:tmpl w:val="B3A2F4B2"/>
    <w:lvl w:ilvl="0" w:tplc="100ACD9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25579" w:themeColor="accen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EE7"/>
    <w:rsid w:val="00060D25"/>
    <w:rsid w:val="00126B22"/>
    <w:rsid w:val="00190761"/>
    <w:rsid w:val="006C7F51"/>
    <w:rsid w:val="00894378"/>
    <w:rsid w:val="00B35EE7"/>
    <w:rsid w:val="00D1437B"/>
    <w:rsid w:val="00DB2011"/>
    <w:rsid w:val="00E8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0F9D91-A7E2-44BE-A02C-4D96D6776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5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B35EE7"/>
  </w:style>
  <w:style w:type="character" w:customStyle="1" w:styleId="apple-converted-space">
    <w:name w:val="apple-converted-space"/>
    <w:basedOn w:val="a0"/>
    <w:rsid w:val="00B35EE7"/>
  </w:style>
  <w:style w:type="character" w:styleId="a4">
    <w:name w:val="Hyperlink"/>
    <w:basedOn w:val="a0"/>
    <w:uiPriority w:val="99"/>
    <w:semiHidden/>
    <w:unhideWhenUsed/>
    <w:rsid w:val="00B35E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06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ealogic.com/" TargetMode="External"/><Relationship Id="rId5" Type="http://schemas.openxmlformats.org/officeDocument/2006/relationships/hyperlink" Target="http://www.vegaslex.ru/about/experts/Albert_Eganya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VL">
      <a:dk1>
        <a:srgbClr val="002846"/>
      </a:dk1>
      <a:lt1>
        <a:srgbClr val="F3F4F5"/>
      </a:lt1>
      <a:dk2>
        <a:srgbClr val="002846"/>
      </a:dk2>
      <a:lt2>
        <a:srgbClr val="FFFFFF"/>
      </a:lt2>
      <a:accent1>
        <a:srgbClr val="025579"/>
      </a:accent1>
      <a:accent2>
        <a:srgbClr val="087F9F"/>
      </a:accent2>
      <a:accent3>
        <a:srgbClr val="9BC81E"/>
      </a:accent3>
      <a:accent4>
        <a:srgbClr val="0050A0"/>
      </a:accent4>
      <a:accent5>
        <a:srgbClr val="A0AAB4"/>
      </a:accent5>
      <a:accent6>
        <a:srgbClr val="D7DBDE"/>
      </a:accent6>
      <a:hlink>
        <a:srgbClr val="626E77"/>
      </a:hlink>
      <a:folHlink>
        <a:srgbClr val="626E77"/>
      </a:folHlink>
    </a:clrScheme>
    <a:fontScheme name="Vegas Lex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2101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Grigoryan, Liana</cp:lastModifiedBy>
  <cp:revision>2</cp:revision>
  <dcterms:created xsi:type="dcterms:W3CDTF">2015-06-24T13:43:00Z</dcterms:created>
  <dcterms:modified xsi:type="dcterms:W3CDTF">2015-06-24T13:43:00Z</dcterms:modified>
</cp:coreProperties>
</file>