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44" w:type="pct"/>
        <w:tblLayout w:type="fixed"/>
        <w:tblCellMar>
          <w:left w:w="0" w:type="dxa"/>
          <w:right w:w="0" w:type="dxa"/>
        </w:tblCellMar>
        <w:tblLook w:val="04A0"/>
      </w:tblPr>
      <w:tblGrid>
        <w:gridCol w:w="6837"/>
        <w:gridCol w:w="2497"/>
      </w:tblGrid>
      <w:tr w:rsidR="0090728B" w:rsidTr="00334259">
        <w:trPr>
          <w:cantSplit/>
          <w:trHeight w:val="1304"/>
        </w:trPr>
        <w:tc>
          <w:tcPr>
            <w:tcW w:w="6804" w:type="dxa"/>
          </w:tcPr>
          <w:p w:rsidR="0090728B" w:rsidRPr="002622BA" w:rsidRDefault="0090728B" w:rsidP="00334259">
            <w:pPr>
              <w:rPr>
                <w:rFonts w:eastAsia="Arial" w:cs="Arial"/>
                <w:sz w:val="14"/>
                <w:szCs w:val="14"/>
              </w:rPr>
            </w:pPr>
            <w:r>
              <w:rPr>
                <w:noProof/>
              </w:rPr>
              <w:drawing>
                <wp:inline distT="0" distB="0" distL="0" distR="0">
                  <wp:extent cx="20574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0" cy="533400"/>
                          </a:xfrm>
                          <a:prstGeom prst="rect">
                            <a:avLst/>
                          </a:prstGeom>
                          <a:noFill/>
                          <a:ln>
                            <a:noFill/>
                          </a:ln>
                        </pic:spPr>
                      </pic:pic>
                    </a:graphicData>
                  </a:graphic>
                </wp:inline>
              </w:drawing>
            </w:r>
          </w:p>
        </w:tc>
        <w:tc>
          <w:tcPr>
            <w:tcW w:w="2485" w:type="dxa"/>
          </w:tcPr>
          <w:p w:rsidR="0090728B" w:rsidRPr="002622BA" w:rsidRDefault="0090728B" w:rsidP="00334259">
            <w:pPr>
              <w:tabs>
                <w:tab w:val="left" w:pos="288"/>
              </w:tabs>
              <w:rPr>
                <w:rFonts w:eastAsia="Arial"/>
              </w:rPr>
            </w:pPr>
          </w:p>
        </w:tc>
      </w:tr>
    </w:tbl>
    <w:p w:rsidR="0090728B" w:rsidRPr="00CB5691" w:rsidRDefault="00003AF2" w:rsidP="0090728B">
      <w:pPr>
        <w:pStyle w:val="BodyText"/>
        <w:suppressAutoHyphens/>
        <w:rPr>
          <w:lang w:val="en-US"/>
        </w:rPr>
      </w:pPr>
      <w:r w:rsidRPr="00CB5691">
        <w:rPr>
          <w:lang w:val="en-US"/>
        </w:rPr>
        <w:t xml:space="preserve">Press release </w:t>
      </w:r>
    </w:p>
    <w:p w:rsidR="00EE0330" w:rsidRPr="00003AF2" w:rsidRDefault="00EE0330" w:rsidP="0090728B">
      <w:pPr>
        <w:jc w:val="center"/>
        <w:rPr>
          <w:rFonts w:ascii="Arial" w:hAnsi="Arial" w:cs="Arial"/>
          <w:b/>
          <w:bCs/>
          <w:sz w:val="32"/>
          <w:szCs w:val="32"/>
        </w:rPr>
      </w:pPr>
      <w:r w:rsidRPr="0090728B">
        <w:rPr>
          <w:rFonts w:ascii="Arial" w:hAnsi="Arial" w:cs="Arial"/>
          <w:b/>
          <w:bCs/>
          <w:sz w:val="32"/>
          <w:szCs w:val="32"/>
          <w:lang w:val="en-GB"/>
        </w:rPr>
        <w:t>Dentons</w:t>
      </w:r>
      <w:r w:rsidR="003E3335" w:rsidRPr="00003AF2">
        <w:rPr>
          <w:rFonts w:ascii="Arial" w:hAnsi="Arial" w:cs="Arial"/>
          <w:b/>
          <w:bCs/>
          <w:sz w:val="32"/>
          <w:szCs w:val="32"/>
        </w:rPr>
        <w:t xml:space="preserve"> </w:t>
      </w:r>
      <w:r w:rsidR="00003AF2" w:rsidRPr="00003AF2">
        <w:rPr>
          <w:rFonts w:ascii="Arial" w:hAnsi="Arial" w:cs="Arial"/>
          <w:b/>
          <w:bCs/>
          <w:sz w:val="32"/>
          <w:szCs w:val="32"/>
        </w:rPr>
        <w:t>wins tender to develop digital economy tax legislation</w:t>
      </w:r>
    </w:p>
    <w:p w:rsidR="00EE0330" w:rsidRPr="00003AF2" w:rsidRDefault="00EE0330" w:rsidP="00EE0330">
      <w:pPr>
        <w:spacing w:after="120"/>
        <w:jc w:val="both"/>
        <w:rPr>
          <w:rFonts w:ascii="Arial" w:hAnsi="Arial" w:cs="Arial"/>
          <w:sz w:val="20"/>
          <w:szCs w:val="20"/>
        </w:rPr>
      </w:pPr>
    </w:p>
    <w:p w:rsidR="000F1116" w:rsidRPr="00003AF2" w:rsidRDefault="00003AF2" w:rsidP="00D31EFA">
      <w:pPr>
        <w:spacing w:after="120"/>
        <w:jc w:val="both"/>
        <w:rPr>
          <w:rFonts w:ascii="Arial" w:hAnsi="Arial" w:cs="Arial"/>
        </w:rPr>
      </w:pPr>
      <w:r w:rsidRPr="00003AF2">
        <w:rPr>
          <w:rFonts w:ascii="Arial" w:hAnsi="Arial" w:cs="Arial"/>
        </w:rPr>
        <w:t>Moscow</w:t>
      </w:r>
      <w:r w:rsidR="00D05B5D" w:rsidRPr="00003AF2">
        <w:rPr>
          <w:rFonts w:ascii="Arial" w:hAnsi="Arial" w:cs="Arial"/>
        </w:rPr>
        <w:t xml:space="preserve">, </w:t>
      </w:r>
      <w:r w:rsidRPr="00003AF2">
        <w:rPr>
          <w:rFonts w:ascii="Arial" w:hAnsi="Arial" w:cs="Arial"/>
        </w:rPr>
        <w:t xml:space="preserve">March 26, </w:t>
      </w:r>
      <w:r w:rsidR="00CA05E4" w:rsidRPr="00003AF2">
        <w:rPr>
          <w:rFonts w:ascii="Arial" w:hAnsi="Arial" w:cs="Arial"/>
        </w:rPr>
        <w:t>2018</w:t>
      </w:r>
      <w:r>
        <w:rPr>
          <w:rFonts w:ascii="Arial" w:hAnsi="Arial" w:cs="Arial"/>
        </w:rPr>
        <w:t xml:space="preserve"> </w:t>
      </w:r>
      <w:r w:rsidR="00D05B5D" w:rsidRPr="00003AF2">
        <w:rPr>
          <w:rFonts w:ascii="Arial" w:hAnsi="Arial" w:cs="Arial"/>
        </w:rPr>
        <w:t>–</w:t>
      </w:r>
      <w:r>
        <w:rPr>
          <w:rFonts w:ascii="Arial" w:hAnsi="Arial" w:cs="Arial"/>
        </w:rPr>
        <w:t xml:space="preserve"> Dentons</w:t>
      </w:r>
      <w:r w:rsidRPr="00003AF2">
        <w:rPr>
          <w:rFonts w:ascii="Arial" w:hAnsi="Arial" w:cs="Arial"/>
        </w:rPr>
        <w:t xml:space="preserve">’ Russia Tax and Customs practice </w:t>
      </w:r>
      <w:r>
        <w:rPr>
          <w:rFonts w:ascii="Arial" w:hAnsi="Arial" w:cs="Arial"/>
        </w:rPr>
        <w:t>won</w:t>
      </w:r>
      <w:r w:rsidRPr="00003AF2">
        <w:rPr>
          <w:rFonts w:ascii="Arial" w:hAnsi="Arial" w:cs="Arial"/>
        </w:rPr>
        <w:t xml:space="preserve"> </w:t>
      </w:r>
      <w:r>
        <w:rPr>
          <w:rFonts w:ascii="Arial" w:hAnsi="Arial" w:cs="Arial"/>
        </w:rPr>
        <w:t>a</w:t>
      </w:r>
      <w:r w:rsidRPr="00003AF2">
        <w:rPr>
          <w:rFonts w:ascii="Arial" w:hAnsi="Arial" w:cs="Arial"/>
        </w:rPr>
        <w:t xml:space="preserve"> </w:t>
      </w:r>
      <w:r>
        <w:rPr>
          <w:rFonts w:ascii="Arial" w:hAnsi="Arial" w:cs="Arial"/>
        </w:rPr>
        <w:t>tender</w:t>
      </w:r>
      <w:r w:rsidRPr="00003AF2">
        <w:rPr>
          <w:rFonts w:ascii="Arial" w:hAnsi="Arial" w:cs="Arial"/>
        </w:rPr>
        <w:t xml:space="preserve"> </w:t>
      </w:r>
      <w:r>
        <w:rPr>
          <w:rFonts w:ascii="Arial" w:hAnsi="Arial" w:cs="Arial"/>
        </w:rPr>
        <w:t>of</w:t>
      </w:r>
      <w:r w:rsidRPr="00003AF2">
        <w:rPr>
          <w:rFonts w:ascii="Arial" w:hAnsi="Arial" w:cs="Arial"/>
        </w:rPr>
        <w:t xml:space="preserve"> </w:t>
      </w:r>
      <w:r>
        <w:rPr>
          <w:rFonts w:ascii="Arial" w:hAnsi="Arial" w:cs="Arial"/>
        </w:rPr>
        <w:t>the</w:t>
      </w:r>
      <w:r w:rsidRPr="00003AF2">
        <w:rPr>
          <w:rFonts w:ascii="Arial" w:hAnsi="Arial" w:cs="Arial"/>
        </w:rPr>
        <w:t xml:space="preserve"> </w:t>
      </w:r>
      <w:r>
        <w:rPr>
          <w:rFonts w:ascii="Arial" w:hAnsi="Arial" w:cs="Arial"/>
        </w:rPr>
        <w:t>Skolkovo</w:t>
      </w:r>
      <w:r w:rsidRPr="00003AF2">
        <w:rPr>
          <w:rFonts w:ascii="Arial" w:hAnsi="Arial" w:cs="Arial"/>
        </w:rPr>
        <w:t xml:space="preserve"> </w:t>
      </w:r>
      <w:r w:rsidR="00044365">
        <w:rPr>
          <w:rFonts w:ascii="Arial" w:hAnsi="Arial" w:cs="Arial"/>
        </w:rPr>
        <w:t xml:space="preserve">Foundation for Development of the </w:t>
      </w:r>
      <w:r w:rsidR="00CB5691" w:rsidRPr="00003AF2">
        <w:rPr>
          <w:rFonts w:ascii="Arial" w:hAnsi="Arial" w:cs="Arial"/>
        </w:rPr>
        <w:t xml:space="preserve">Center </w:t>
      </w:r>
      <w:r w:rsidR="00CB5691">
        <w:rPr>
          <w:rFonts w:ascii="Arial" w:hAnsi="Arial" w:cs="Arial"/>
        </w:rPr>
        <w:t xml:space="preserve">for </w:t>
      </w:r>
      <w:r w:rsidR="00044365">
        <w:rPr>
          <w:rFonts w:ascii="Arial" w:hAnsi="Arial" w:cs="Arial"/>
        </w:rPr>
        <w:t xml:space="preserve">Elaboration and </w:t>
      </w:r>
      <w:r w:rsidRPr="00003AF2">
        <w:rPr>
          <w:rFonts w:ascii="Arial" w:hAnsi="Arial" w:cs="Arial"/>
        </w:rPr>
        <w:t xml:space="preserve">Commercialization </w:t>
      </w:r>
      <w:r w:rsidR="00044365">
        <w:rPr>
          <w:rFonts w:ascii="Arial" w:hAnsi="Arial" w:cs="Arial"/>
        </w:rPr>
        <w:t>of New Technologies</w:t>
      </w:r>
      <w:r>
        <w:rPr>
          <w:rFonts w:ascii="Arial" w:hAnsi="Arial" w:cs="Arial"/>
        </w:rPr>
        <w:t xml:space="preserve"> to develop legislation in the following areas:</w:t>
      </w:r>
    </w:p>
    <w:p w:rsidR="00072F01" w:rsidRPr="00003AF2" w:rsidRDefault="00003AF2" w:rsidP="00072F01">
      <w:pPr>
        <w:pStyle w:val="ListParagraph"/>
        <w:numPr>
          <w:ilvl w:val="0"/>
          <w:numId w:val="2"/>
        </w:numPr>
        <w:rPr>
          <w:rFonts w:ascii="Arial" w:hAnsi="Arial" w:cs="Arial"/>
          <w:b/>
        </w:rPr>
      </w:pPr>
      <w:r>
        <w:rPr>
          <w:rFonts w:ascii="Arial" w:hAnsi="Arial" w:cs="Arial"/>
          <w:b/>
        </w:rPr>
        <w:t>R&amp;D and</w:t>
      </w:r>
      <w:r w:rsidR="00072F01" w:rsidRPr="00003AF2">
        <w:rPr>
          <w:rFonts w:ascii="Arial" w:hAnsi="Arial" w:cs="Arial"/>
          <w:b/>
        </w:rPr>
        <w:t xml:space="preserve"> Patent Box</w:t>
      </w:r>
      <w:r>
        <w:rPr>
          <w:rFonts w:ascii="Arial" w:hAnsi="Arial" w:cs="Arial"/>
          <w:b/>
        </w:rPr>
        <w:t xml:space="preserve"> incentive</w:t>
      </w:r>
    </w:p>
    <w:p w:rsidR="00072F01" w:rsidRPr="00CB5691" w:rsidRDefault="00003AF2" w:rsidP="00072F01">
      <w:pPr>
        <w:pStyle w:val="ListParagraph"/>
        <w:numPr>
          <w:ilvl w:val="0"/>
          <w:numId w:val="2"/>
        </w:numPr>
        <w:rPr>
          <w:rFonts w:ascii="Arial" w:hAnsi="Arial" w:cs="Arial"/>
          <w:b/>
        </w:rPr>
      </w:pPr>
      <w:r w:rsidRPr="00CB5691">
        <w:rPr>
          <w:rFonts w:ascii="Arial" w:hAnsi="Arial" w:cs="Arial"/>
          <w:b/>
        </w:rPr>
        <w:t xml:space="preserve">New rules for individual tax residency </w:t>
      </w:r>
    </w:p>
    <w:p w:rsidR="00072F01" w:rsidRPr="00003AF2" w:rsidRDefault="00003AF2" w:rsidP="00072F01">
      <w:pPr>
        <w:pStyle w:val="ListParagraph"/>
        <w:numPr>
          <w:ilvl w:val="0"/>
          <w:numId w:val="2"/>
        </w:numPr>
        <w:rPr>
          <w:rFonts w:ascii="Arial" w:hAnsi="Arial" w:cs="Arial"/>
          <w:b/>
        </w:rPr>
      </w:pPr>
      <w:r w:rsidRPr="00003AF2">
        <w:rPr>
          <w:rFonts w:ascii="Arial" w:hAnsi="Arial" w:cs="Arial"/>
          <w:b/>
        </w:rPr>
        <w:t xml:space="preserve">Personal income tax deduction for business angels </w:t>
      </w:r>
    </w:p>
    <w:p w:rsidR="00072F01" w:rsidRPr="00003AF2" w:rsidRDefault="00003AF2" w:rsidP="00072F01">
      <w:pPr>
        <w:pStyle w:val="ListParagraph"/>
        <w:numPr>
          <w:ilvl w:val="0"/>
          <w:numId w:val="2"/>
        </w:numPr>
        <w:rPr>
          <w:rFonts w:ascii="Arial" w:hAnsi="Arial" w:cs="Arial"/>
          <w:b/>
        </w:rPr>
      </w:pPr>
      <w:r w:rsidRPr="00003AF2">
        <w:rPr>
          <w:rFonts w:ascii="Arial" w:hAnsi="Arial" w:cs="Arial"/>
          <w:b/>
        </w:rPr>
        <w:t>Deduction of “</w:t>
      </w:r>
      <w:r w:rsidR="00044365">
        <w:rPr>
          <w:rFonts w:ascii="Arial" w:hAnsi="Arial" w:cs="Arial"/>
          <w:b/>
        </w:rPr>
        <w:t>input</w:t>
      </w:r>
      <w:r w:rsidRPr="00003AF2">
        <w:rPr>
          <w:rFonts w:ascii="Arial" w:hAnsi="Arial" w:cs="Arial"/>
          <w:b/>
        </w:rPr>
        <w:t xml:space="preserve">” </w:t>
      </w:r>
      <w:r>
        <w:rPr>
          <w:rFonts w:ascii="Arial" w:hAnsi="Arial" w:cs="Arial"/>
          <w:b/>
        </w:rPr>
        <w:t>VAT</w:t>
      </w:r>
      <w:r w:rsidRPr="00003AF2">
        <w:rPr>
          <w:rFonts w:ascii="Arial" w:hAnsi="Arial" w:cs="Arial"/>
          <w:b/>
        </w:rPr>
        <w:t xml:space="preserve"> </w:t>
      </w:r>
      <w:r w:rsidR="005C6219">
        <w:rPr>
          <w:rFonts w:ascii="Arial" w:hAnsi="Arial" w:cs="Arial"/>
          <w:b/>
        </w:rPr>
        <w:t>for export of</w:t>
      </w:r>
      <w:r w:rsidRPr="00003AF2">
        <w:rPr>
          <w:rFonts w:ascii="Arial" w:hAnsi="Arial" w:cs="Arial"/>
          <w:b/>
        </w:rPr>
        <w:t xml:space="preserve"> digital and IT services and</w:t>
      </w:r>
      <w:r>
        <w:rPr>
          <w:rFonts w:ascii="Arial" w:hAnsi="Arial" w:cs="Arial"/>
          <w:b/>
        </w:rPr>
        <w:t xml:space="preserve"> </w:t>
      </w:r>
      <w:r w:rsidR="005C6219">
        <w:rPr>
          <w:rFonts w:ascii="Arial" w:hAnsi="Arial" w:cs="Arial"/>
          <w:b/>
        </w:rPr>
        <w:t>sale of</w:t>
      </w:r>
      <w:r>
        <w:rPr>
          <w:rFonts w:ascii="Arial" w:hAnsi="Arial" w:cs="Arial"/>
          <w:b/>
        </w:rPr>
        <w:t xml:space="preserve"> IP rights</w:t>
      </w:r>
    </w:p>
    <w:p w:rsidR="00653BA9" w:rsidRPr="00003AF2" w:rsidRDefault="00653BA9" w:rsidP="00472674">
      <w:pPr>
        <w:spacing w:after="120"/>
        <w:jc w:val="both"/>
        <w:rPr>
          <w:rFonts w:ascii="Arial" w:hAnsi="Arial" w:cs="Arial"/>
        </w:rPr>
      </w:pPr>
    </w:p>
    <w:p w:rsidR="00997E81" w:rsidRPr="00003AF2" w:rsidRDefault="00003AF2" w:rsidP="00052E68">
      <w:pPr>
        <w:jc w:val="both"/>
        <w:rPr>
          <w:rFonts w:ascii="Arial" w:hAnsi="Arial" w:cs="Arial"/>
        </w:rPr>
      </w:pPr>
      <w:r w:rsidRPr="00003AF2">
        <w:rPr>
          <w:rFonts w:ascii="Arial" w:hAnsi="Arial" w:cs="Arial"/>
        </w:rPr>
        <w:t xml:space="preserve">This project aims to create incentives for digital economy </w:t>
      </w:r>
      <w:r w:rsidR="005C6219">
        <w:rPr>
          <w:rFonts w:ascii="Arial" w:hAnsi="Arial" w:cs="Arial"/>
        </w:rPr>
        <w:t>entities</w:t>
      </w:r>
      <w:r w:rsidRPr="00003AF2">
        <w:rPr>
          <w:rFonts w:ascii="Arial" w:hAnsi="Arial" w:cs="Arial"/>
        </w:rPr>
        <w:t xml:space="preserve"> and to make the Russian tax</w:t>
      </w:r>
      <w:r>
        <w:rPr>
          <w:rFonts w:ascii="Arial" w:hAnsi="Arial" w:cs="Arial"/>
        </w:rPr>
        <w:t xml:space="preserve"> system more competitive.</w:t>
      </w:r>
    </w:p>
    <w:p w:rsidR="00CB3791" w:rsidRPr="00003AF2" w:rsidRDefault="00CB3791" w:rsidP="00052E68">
      <w:pPr>
        <w:jc w:val="both"/>
        <w:rPr>
          <w:rFonts w:ascii="Arial" w:hAnsi="Arial" w:cs="Arial"/>
        </w:rPr>
      </w:pPr>
    </w:p>
    <w:p w:rsidR="005E215B" w:rsidRPr="00DA58D5" w:rsidRDefault="00DA58D5" w:rsidP="00052E68">
      <w:pPr>
        <w:jc w:val="both"/>
        <w:rPr>
          <w:rFonts w:ascii="Arial" w:hAnsi="Arial" w:cs="Arial"/>
        </w:rPr>
      </w:pPr>
      <w:r w:rsidRPr="00DA58D5">
        <w:rPr>
          <w:rFonts w:ascii="Arial" w:hAnsi="Arial" w:cs="Arial"/>
        </w:rPr>
        <w:t>In 2017 the Government of Russia approved a program to implement the</w:t>
      </w:r>
      <w:r w:rsidR="005C6219">
        <w:rPr>
          <w:rFonts w:ascii="Arial" w:hAnsi="Arial" w:cs="Arial"/>
        </w:rPr>
        <w:t xml:space="preserve"> Digital Economy</w:t>
      </w:r>
      <w:r>
        <w:rPr>
          <w:rFonts w:ascii="Arial" w:hAnsi="Arial" w:cs="Arial"/>
        </w:rPr>
        <w:t xml:space="preserve"> project. The Analytical Center</w:t>
      </w:r>
      <w:r w:rsidR="00044365" w:rsidRPr="00044365">
        <w:rPr>
          <w:rFonts w:ascii="Arial" w:hAnsi="Arial" w:cs="Arial"/>
        </w:rPr>
        <w:t xml:space="preserve"> </w:t>
      </w:r>
      <w:r w:rsidR="00044365">
        <w:rPr>
          <w:rFonts w:ascii="Arial" w:hAnsi="Arial" w:cs="Arial"/>
        </w:rPr>
        <w:t>for the Government</w:t>
      </w:r>
      <w:r>
        <w:rPr>
          <w:rFonts w:ascii="Arial" w:hAnsi="Arial" w:cs="Arial"/>
        </w:rPr>
        <w:t xml:space="preserve"> </w:t>
      </w:r>
      <w:r w:rsidR="00044365">
        <w:rPr>
          <w:rFonts w:ascii="Arial" w:hAnsi="Arial" w:cs="Arial"/>
        </w:rPr>
        <w:t xml:space="preserve">of the Russian Federation </w:t>
      </w:r>
      <w:r w:rsidR="005C6219">
        <w:rPr>
          <w:rFonts w:ascii="Arial" w:hAnsi="Arial" w:cs="Arial"/>
        </w:rPr>
        <w:t xml:space="preserve">autonomous nonprofit organization </w:t>
      </w:r>
      <w:r>
        <w:rPr>
          <w:rFonts w:ascii="Arial" w:hAnsi="Arial" w:cs="Arial"/>
        </w:rPr>
        <w:t xml:space="preserve">was officially assigned the functions of project </w:t>
      </w:r>
      <w:r w:rsidR="00560C7A">
        <w:rPr>
          <w:rFonts w:ascii="Arial" w:hAnsi="Arial" w:cs="Arial"/>
        </w:rPr>
        <w:t xml:space="preserve">management </w:t>
      </w:r>
      <w:r>
        <w:rPr>
          <w:rFonts w:ascii="Arial" w:hAnsi="Arial" w:cs="Arial"/>
        </w:rPr>
        <w:t>office to implement the program, and the specially created Digital Economy Autonomous Nonprofit Organization was assigned the authority to crea</w:t>
      </w:r>
      <w:r w:rsidR="00044365">
        <w:rPr>
          <w:rFonts w:ascii="Arial" w:hAnsi="Arial" w:cs="Arial"/>
        </w:rPr>
        <w:t>te working groups and competenc</w:t>
      </w:r>
      <w:r w:rsidR="00560C7A">
        <w:rPr>
          <w:rFonts w:ascii="Arial" w:hAnsi="Arial" w:cs="Arial"/>
        </w:rPr>
        <w:t>y</w:t>
      </w:r>
      <w:r>
        <w:rPr>
          <w:rFonts w:ascii="Arial" w:hAnsi="Arial" w:cs="Arial"/>
        </w:rPr>
        <w:t xml:space="preserve"> centers and to </w:t>
      </w:r>
      <w:r w:rsidR="005C6219">
        <w:rPr>
          <w:rFonts w:ascii="Arial" w:hAnsi="Arial" w:cs="Arial"/>
        </w:rPr>
        <w:t>liaise</w:t>
      </w:r>
      <w:r>
        <w:rPr>
          <w:rFonts w:ascii="Arial" w:hAnsi="Arial" w:cs="Arial"/>
        </w:rPr>
        <w:t xml:space="preserve"> with business.</w:t>
      </w:r>
    </w:p>
    <w:p w:rsidR="005E215B" w:rsidRPr="00DA58D5" w:rsidRDefault="005E215B" w:rsidP="00052E68">
      <w:pPr>
        <w:jc w:val="both"/>
        <w:rPr>
          <w:rFonts w:ascii="Arial" w:hAnsi="Arial" w:cs="Arial"/>
          <w:color w:val="000000"/>
          <w:sz w:val="20"/>
          <w:szCs w:val="20"/>
        </w:rPr>
      </w:pPr>
    </w:p>
    <w:p w:rsidR="00052E68" w:rsidRPr="00DA58D5" w:rsidRDefault="00DA58D5" w:rsidP="00052E68">
      <w:pPr>
        <w:jc w:val="both"/>
        <w:rPr>
          <w:rFonts w:ascii="Arial" w:hAnsi="Arial" w:cs="Arial"/>
        </w:rPr>
      </w:pPr>
      <w:r w:rsidRPr="00DA58D5">
        <w:rPr>
          <w:rFonts w:ascii="Arial" w:hAnsi="Arial" w:cs="Arial"/>
        </w:rPr>
        <w:t>Today two Dentons partners h</w:t>
      </w:r>
      <w:r w:rsidR="005C6219">
        <w:rPr>
          <w:rFonts w:ascii="Arial" w:hAnsi="Arial" w:cs="Arial"/>
        </w:rPr>
        <w:t>e</w:t>
      </w:r>
      <w:r w:rsidR="00044365">
        <w:rPr>
          <w:rFonts w:ascii="Arial" w:hAnsi="Arial" w:cs="Arial"/>
        </w:rPr>
        <w:t xml:space="preserve">ad </w:t>
      </w:r>
      <w:r w:rsidR="00E97C29">
        <w:rPr>
          <w:rFonts w:ascii="Arial" w:hAnsi="Arial" w:cs="Arial"/>
        </w:rPr>
        <w:t xml:space="preserve">a </w:t>
      </w:r>
      <w:r w:rsidRPr="00DA58D5">
        <w:rPr>
          <w:rFonts w:ascii="Arial" w:hAnsi="Arial" w:cs="Arial"/>
        </w:rPr>
        <w:t>working group</w:t>
      </w:r>
      <w:r>
        <w:rPr>
          <w:rFonts w:ascii="Arial" w:hAnsi="Arial" w:cs="Arial"/>
        </w:rPr>
        <w:t xml:space="preserve"> to implement the Digital Economy of the Russian Federation state pro</w:t>
      </w:r>
      <w:r w:rsidR="006A6855">
        <w:rPr>
          <w:rFonts w:ascii="Arial" w:hAnsi="Arial" w:cs="Arial"/>
        </w:rPr>
        <w:t>gram</w:t>
      </w:r>
      <w:r w:rsidR="00E97C29">
        <w:rPr>
          <w:rFonts w:ascii="Arial" w:hAnsi="Arial" w:cs="Arial"/>
        </w:rPr>
        <w:t xml:space="preserve"> at the competency center</w:t>
      </w:r>
      <w:r w:rsidR="006A6855">
        <w:rPr>
          <w:rFonts w:ascii="Arial" w:hAnsi="Arial" w:cs="Arial"/>
        </w:rPr>
        <w:t>: Vasilii Markov heads the Special Legal Regimes</w:t>
      </w:r>
      <w:r>
        <w:rPr>
          <w:rFonts w:ascii="Arial" w:hAnsi="Arial" w:cs="Arial"/>
        </w:rPr>
        <w:t xml:space="preserve"> working gro</w:t>
      </w:r>
      <w:r w:rsidR="006A6855">
        <w:rPr>
          <w:rFonts w:ascii="Arial" w:hAnsi="Arial" w:cs="Arial"/>
        </w:rPr>
        <w:t>up and Victor Naumov heads the Cyber-Physical Systems</w:t>
      </w:r>
      <w:r>
        <w:rPr>
          <w:rFonts w:ascii="Arial" w:hAnsi="Arial" w:cs="Arial"/>
        </w:rPr>
        <w:t xml:space="preserve"> working group and is also on</w:t>
      </w:r>
      <w:r w:rsidR="006A6855">
        <w:rPr>
          <w:rFonts w:ascii="Arial" w:hAnsi="Arial" w:cs="Arial"/>
        </w:rPr>
        <w:t xml:space="preserve"> the main Digital Economy ANO Statutory Regulation</w:t>
      </w:r>
      <w:r>
        <w:rPr>
          <w:rFonts w:ascii="Arial" w:hAnsi="Arial" w:cs="Arial"/>
        </w:rPr>
        <w:t xml:space="preserve"> working group. Dentons</w:t>
      </w:r>
      <w:r w:rsidR="005C6219">
        <w:rPr>
          <w:rFonts w:ascii="Arial" w:hAnsi="Arial" w:cs="Arial"/>
        </w:rPr>
        <w:t>’</w:t>
      </w:r>
      <w:r>
        <w:rPr>
          <w:rFonts w:ascii="Arial" w:hAnsi="Arial" w:cs="Arial"/>
        </w:rPr>
        <w:t xml:space="preserve"> lawyers have participated in crafting the Tax Strategy to 2020 relating to tax incentives in the tax policy expert group at the Center for Strategic Developments, lea</w:t>
      </w:r>
      <w:r w:rsidR="005C6219">
        <w:rPr>
          <w:rFonts w:ascii="Arial" w:hAnsi="Arial" w:cs="Arial"/>
        </w:rPr>
        <w:t>d</w:t>
      </w:r>
      <w:r>
        <w:rPr>
          <w:rFonts w:ascii="Arial" w:hAnsi="Arial" w:cs="Arial"/>
        </w:rPr>
        <w:t xml:space="preserve"> the Russian Government expert group on developing innovation tax incentives and have developed sets of business tax incentive measures for the governments of a number of CIS countries.</w:t>
      </w:r>
    </w:p>
    <w:p w:rsidR="00DA58D5" w:rsidRPr="00AA5C19" w:rsidRDefault="00DA58D5" w:rsidP="00AA5C19">
      <w:pPr>
        <w:spacing w:before="100" w:beforeAutospacing="1" w:after="100" w:afterAutospacing="1"/>
        <w:jc w:val="both"/>
        <w:rPr>
          <w:rFonts w:ascii="Arial" w:hAnsi="Arial" w:cs="Arial"/>
        </w:rPr>
      </w:pPr>
      <w:r>
        <w:rPr>
          <w:rFonts w:ascii="Arial" w:hAnsi="Arial" w:cs="Arial"/>
          <w:b/>
          <w:bCs/>
        </w:rPr>
        <w:t>Vasilii</w:t>
      </w:r>
      <w:r w:rsidRPr="00AA5C19">
        <w:rPr>
          <w:rFonts w:ascii="Arial" w:hAnsi="Arial" w:cs="Arial"/>
          <w:b/>
          <w:bCs/>
        </w:rPr>
        <w:t xml:space="preserve"> </w:t>
      </w:r>
      <w:r>
        <w:rPr>
          <w:rFonts w:ascii="Arial" w:hAnsi="Arial" w:cs="Arial"/>
          <w:b/>
          <w:bCs/>
        </w:rPr>
        <w:t>Markov</w:t>
      </w:r>
      <w:r w:rsidR="00596E25" w:rsidRPr="00AA5C19">
        <w:rPr>
          <w:rFonts w:ascii="Arial" w:hAnsi="Arial" w:cs="Arial"/>
        </w:rPr>
        <w:t xml:space="preserve">, </w:t>
      </w:r>
      <w:r>
        <w:rPr>
          <w:rFonts w:ascii="Arial" w:hAnsi="Arial" w:cs="Arial"/>
        </w:rPr>
        <w:t>partner</w:t>
      </w:r>
      <w:r w:rsidRPr="00AA5C19">
        <w:rPr>
          <w:rFonts w:ascii="Arial" w:hAnsi="Arial" w:cs="Arial"/>
        </w:rPr>
        <w:t xml:space="preserve"> </w:t>
      </w:r>
      <w:r>
        <w:rPr>
          <w:rFonts w:ascii="Arial" w:hAnsi="Arial" w:cs="Arial"/>
        </w:rPr>
        <w:t>in</w:t>
      </w:r>
      <w:r w:rsidRPr="00AA5C19">
        <w:rPr>
          <w:rFonts w:ascii="Arial" w:hAnsi="Arial" w:cs="Arial"/>
        </w:rPr>
        <w:t xml:space="preserve"> </w:t>
      </w:r>
      <w:r>
        <w:rPr>
          <w:rFonts w:ascii="Arial" w:hAnsi="Arial" w:cs="Arial"/>
        </w:rPr>
        <w:t>Dentons</w:t>
      </w:r>
      <w:r w:rsidRPr="00AA5C19">
        <w:rPr>
          <w:rFonts w:ascii="Arial" w:hAnsi="Arial" w:cs="Arial"/>
        </w:rPr>
        <w:t xml:space="preserve">’ </w:t>
      </w:r>
      <w:r>
        <w:rPr>
          <w:rFonts w:ascii="Arial" w:hAnsi="Arial" w:cs="Arial"/>
        </w:rPr>
        <w:t>Russia</w:t>
      </w:r>
      <w:r w:rsidRPr="00AA5C19">
        <w:rPr>
          <w:rFonts w:ascii="Arial" w:hAnsi="Arial" w:cs="Arial"/>
        </w:rPr>
        <w:t xml:space="preserve"> </w:t>
      </w:r>
      <w:r>
        <w:rPr>
          <w:rFonts w:ascii="Arial" w:hAnsi="Arial" w:cs="Arial"/>
        </w:rPr>
        <w:t>Tax</w:t>
      </w:r>
      <w:r w:rsidRPr="00AA5C19">
        <w:rPr>
          <w:rFonts w:ascii="Arial" w:hAnsi="Arial" w:cs="Arial"/>
        </w:rPr>
        <w:t xml:space="preserve"> </w:t>
      </w:r>
      <w:r>
        <w:rPr>
          <w:rFonts w:ascii="Arial" w:hAnsi="Arial" w:cs="Arial"/>
        </w:rPr>
        <w:t>and</w:t>
      </w:r>
      <w:r w:rsidRPr="00AA5C19">
        <w:rPr>
          <w:rFonts w:ascii="Arial" w:hAnsi="Arial" w:cs="Arial"/>
        </w:rPr>
        <w:t xml:space="preserve"> </w:t>
      </w:r>
      <w:r>
        <w:rPr>
          <w:rFonts w:ascii="Arial" w:hAnsi="Arial" w:cs="Arial"/>
        </w:rPr>
        <w:t>Customs</w:t>
      </w:r>
      <w:r w:rsidRPr="00AA5C19">
        <w:rPr>
          <w:rFonts w:ascii="Arial" w:hAnsi="Arial" w:cs="Arial"/>
        </w:rPr>
        <w:t xml:space="preserve"> </w:t>
      </w:r>
      <w:r>
        <w:rPr>
          <w:rFonts w:ascii="Arial" w:hAnsi="Arial" w:cs="Arial"/>
        </w:rPr>
        <w:t>practice</w:t>
      </w:r>
      <w:r w:rsidR="00596E25" w:rsidRPr="00AA5C19">
        <w:rPr>
          <w:rFonts w:ascii="Arial" w:hAnsi="Arial" w:cs="Arial"/>
        </w:rPr>
        <w:t>:</w:t>
      </w:r>
      <w:r w:rsidR="00AA5C19">
        <w:rPr>
          <w:rFonts w:ascii="Arial" w:hAnsi="Arial" w:cs="Arial"/>
        </w:rPr>
        <w:t xml:space="preserve"> </w:t>
      </w:r>
      <w:r>
        <w:rPr>
          <w:rFonts w:ascii="Arial" w:hAnsi="Arial" w:cs="Arial"/>
          <w:i/>
        </w:rPr>
        <w:t>“First of all, we thank the Skolkovo Foundation for choosing our team for these projects that are important for the Russian tax system. In our work we rely on accumulated tax expertise in high-tech and consider the opinion of a wide range of experts from our working group: representatives of the business community, expert and scientific associations, as well as the ministries and agencies involved. Our interdisciplinar</w:t>
      </w:r>
      <w:r w:rsidR="006A6855">
        <w:rPr>
          <w:rFonts w:ascii="Arial" w:hAnsi="Arial" w:cs="Arial"/>
          <w:i/>
        </w:rPr>
        <w:t>y and legislative capabilities i</w:t>
      </w:r>
      <w:r>
        <w:rPr>
          <w:rFonts w:ascii="Arial" w:hAnsi="Arial" w:cs="Arial"/>
          <w:i/>
        </w:rPr>
        <w:t>n the leadi</w:t>
      </w:r>
      <w:r w:rsidR="005C6219">
        <w:rPr>
          <w:rFonts w:ascii="Arial" w:hAnsi="Arial" w:cs="Arial"/>
          <w:i/>
        </w:rPr>
        <w:t>ng areas of the digital economy—</w:t>
      </w:r>
      <w:r>
        <w:rPr>
          <w:rFonts w:ascii="Arial" w:hAnsi="Arial" w:cs="Arial"/>
          <w:i/>
        </w:rPr>
        <w:t>the Internet of Things, robotics and artificial inte</w:t>
      </w:r>
      <w:r w:rsidR="005C6219">
        <w:rPr>
          <w:rFonts w:ascii="Arial" w:hAnsi="Arial" w:cs="Arial"/>
          <w:i/>
        </w:rPr>
        <w:t>lligence, and driverless cars—</w:t>
      </w:r>
      <w:r>
        <w:rPr>
          <w:rFonts w:ascii="Arial" w:hAnsi="Arial" w:cs="Arial"/>
          <w:i/>
        </w:rPr>
        <w:t>allow us to take a broader view of how to provide digital entrepreneurs with tax incentives. In developing incentive mechanisms we take into account global best practices and competition among countries to attract tax payments in the global digitization of the economy.”</w:t>
      </w:r>
    </w:p>
    <w:p w:rsidR="00AA5C19" w:rsidRPr="00AA5C19" w:rsidRDefault="00AA5C19" w:rsidP="00CA05E4">
      <w:pPr>
        <w:spacing w:after="120"/>
        <w:jc w:val="both"/>
        <w:rPr>
          <w:rFonts w:ascii="Arial" w:hAnsi="Arial" w:cs="Arial"/>
          <w:b/>
        </w:rPr>
      </w:pPr>
      <w:r>
        <w:rPr>
          <w:rFonts w:ascii="Arial" w:hAnsi="Arial" w:cs="Arial"/>
        </w:rPr>
        <w:lastRenderedPageBreak/>
        <w:t>Dentons</w:t>
      </w:r>
      <w:r w:rsidR="005C6219">
        <w:rPr>
          <w:rFonts w:ascii="Arial" w:hAnsi="Arial" w:cs="Arial"/>
        </w:rPr>
        <w:t>’</w:t>
      </w:r>
      <w:r>
        <w:rPr>
          <w:rFonts w:ascii="Arial" w:hAnsi="Arial" w:cs="Arial"/>
        </w:rPr>
        <w:t xml:space="preserve"> Tax and Customs practice, which is rated one of the leading practices in Russia (</w:t>
      </w:r>
      <w:r>
        <w:rPr>
          <w:rFonts w:ascii="Arial" w:hAnsi="Arial" w:cs="Arial"/>
          <w:b/>
        </w:rPr>
        <w:t xml:space="preserve">Band 1 </w:t>
      </w:r>
      <w:r>
        <w:rPr>
          <w:rFonts w:ascii="Arial" w:hAnsi="Arial" w:cs="Arial"/>
        </w:rPr>
        <w:t xml:space="preserve">by </w:t>
      </w:r>
      <w:r>
        <w:rPr>
          <w:rFonts w:ascii="Arial" w:hAnsi="Arial" w:cs="Arial"/>
          <w:i/>
        </w:rPr>
        <w:t xml:space="preserve">Chambers Europe </w:t>
      </w:r>
      <w:r>
        <w:rPr>
          <w:rFonts w:ascii="Arial" w:hAnsi="Arial" w:cs="Arial"/>
        </w:rPr>
        <w:t xml:space="preserve">2018), has </w:t>
      </w:r>
      <w:r>
        <w:rPr>
          <w:rFonts w:ascii="Arial" w:hAnsi="Arial" w:cs="Arial"/>
          <w:b/>
        </w:rPr>
        <w:t>34 specialists.</w:t>
      </w:r>
    </w:p>
    <w:p w:rsidR="00AA5C19" w:rsidRPr="00AA5C19" w:rsidRDefault="00AA5C19" w:rsidP="00CA05E4">
      <w:pPr>
        <w:spacing w:after="120"/>
        <w:jc w:val="both"/>
        <w:rPr>
          <w:rFonts w:ascii="Arial" w:hAnsi="Arial" w:cs="Arial"/>
        </w:rPr>
      </w:pPr>
      <w:r w:rsidRPr="00AA5C19">
        <w:rPr>
          <w:rFonts w:ascii="Arial" w:hAnsi="Arial" w:cs="Arial"/>
        </w:rPr>
        <w:t xml:space="preserve">The practice has all the resources necessary to provide you with the full spectrum of </w:t>
      </w:r>
      <w:r w:rsidRPr="00AA5C19">
        <w:rPr>
          <w:rFonts w:ascii="Arial" w:hAnsi="Arial" w:cs="Arial"/>
          <w:b/>
        </w:rPr>
        <w:t>tax and legal services</w:t>
      </w:r>
      <w:r w:rsidRPr="00AA5C19">
        <w:rPr>
          <w:rFonts w:ascii="Arial" w:hAnsi="Arial" w:cs="Arial"/>
          <w:b/>
          <w:bCs/>
        </w:rPr>
        <w:t xml:space="preserve">, </w:t>
      </w:r>
      <w:r w:rsidRPr="00AA5C19">
        <w:rPr>
          <w:rFonts w:ascii="Arial" w:hAnsi="Arial" w:cs="Arial"/>
          <w:bCs/>
        </w:rPr>
        <w:t xml:space="preserve">including </w:t>
      </w:r>
      <w:r w:rsidRPr="00AA5C19">
        <w:rPr>
          <w:rFonts w:ascii="Arial" w:hAnsi="Arial" w:cs="Arial"/>
        </w:rPr>
        <w:t xml:space="preserve">international tax advice, domestic tax  and deoffshorization advice; advising on tax </w:t>
      </w:r>
      <w:r w:rsidR="005C6219">
        <w:rPr>
          <w:rFonts w:ascii="Arial" w:hAnsi="Arial" w:cs="Arial"/>
        </w:rPr>
        <w:t>incentives</w:t>
      </w:r>
      <w:r w:rsidRPr="00AA5C19">
        <w:rPr>
          <w:rFonts w:ascii="Arial" w:hAnsi="Arial" w:cs="Arial"/>
        </w:rPr>
        <w:t xml:space="preserve"> and other forms of state support; contract tax review; tax restructurings; tax due diligence/ self-checks; tax M&amp;A support; tax dispute resolution; domestic accounting advice; tax legislative work; transfer pricing; individual tax planning and compliance; tax risk management; real estate tax; and supporting intangible asset transactions. The team also provides all types of </w:t>
      </w:r>
      <w:r w:rsidRPr="00AA5C19">
        <w:rPr>
          <w:rFonts w:ascii="Arial" w:hAnsi="Arial" w:cs="Arial"/>
          <w:b/>
        </w:rPr>
        <w:t xml:space="preserve">customs law services, </w:t>
      </w:r>
      <w:r w:rsidRPr="00AA5C19">
        <w:rPr>
          <w:rFonts w:ascii="Arial" w:hAnsi="Arial" w:cs="Arial"/>
        </w:rPr>
        <w:t>including customs compliance health checks; supply chain structuring and goods import modeling  with the subsequent implementation of the developed supply structures; ensuring the declaration process complies with general customs law requirements; advising on the determination of customs value; advising on the classification of imported goods, etc.</w:t>
      </w:r>
    </w:p>
    <w:p w:rsidR="00CA05E4" w:rsidRPr="00AA5C19" w:rsidRDefault="00AA5C19" w:rsidP="00CA05E4">
      <w:pPr>
        <w:pStyle w:val="BodyText"/>
        <w:spacing w:after="120"/>
        <w:jc w:val="both"/>
        <w:rPr>
          <w:rFonts w:cs="Arial"/>
          <w:lang w:val="en-US"/>
        </w:rPr>
      </w:pPr>
      <w:r>
        <w:rPr>
          <w:rFonts w:cs="Arial"/>
          <w:b/>
          <w:bCs/>
          <w:lang w:val="en-US"/>
        </w:rPr>
        <w:t>About</w:t>
      </w:r>
      <w:r w:rsidR="00CA05E4" w:rsidRPr="00AA5C19">
        <w:rPr>
          <w:rFonts w:cs="Arial"/>
          <w:b/>
          <w:bCs/>
          <w:lang w:val="en-US"/>
        </w:rPr>
        <w:t xml:space="preserve"> </w:t>
      </w:r>
      <w:r w:rsidR="00CA05E4" w:rsidRPr="00CA05E4">
        <w:rPr>
          <w:rFonts w:cs="Arial"/>
          <w:b/>
          <w:bCs/>
        </w:rPr>
        <w:t>Dentons</w:t>
      </w:r>
    </w:p>
    <w:p w:rsidR="00CA05E4" w:rsidRPr="00AA5C19" w:rsidRDefault="00AA5C19" w:rsidP="00CA05E4">
      <w:pPr>
        <w:jc w:val="both"/>
      </w:pPr>
      <w:r w:rsidRPr="00AA5C19">
        <w:rPr>
          <w:rFonts w:ascii="Arial" w:hAnsi="Arial" w:cs="Arial"/>
        </w:rPr>
        <w:t xml:space="preserve">Dentons is the world's largest law firm*, delivering quality and value to clients around the globe. Dentons is a leader on the Acritas Global Elite Brand Index, a BTI Client Service 30 Award winner and recognized by prominent business and legal publications for its innovations in client service, including founding Nextlaw Labs and the Nextlaw Global Referral Network. </w:t>
      </w:r>
      <w:r w:rsidRPr="00AA5C19">
        <w:rPr>
          <w:rFonts w:ascii="Arial" w:hAnsi="Arial" w:cs="Arial"/>
          <w:bCs/>
        </w:rPr>
        <w:t xml:space="preserve">Dentons provides legal services to international and Russian corporations, banks and other financial institutions, private equity funds, </w:t>
      </w:r>
      <w:r w:rsidR="005C6219">
        <w:rPr>
          <w:rFonts w:ascii="Arial" w:hAnsi="Arial" w:cs="Arial"/>
          <w:bCs/>
        </w:rPr>
        <w:t>state enterprises</w:t>
      </w:r>
      <w:r w:rsidRPr="00AA5C19">
        <w:rPr>
          <w:rFonts w:ascii="Arial" w:hAnsi="Arial" w:cs="Arial"/>
          <w:bCs/>
        </w:rPr>
        <w:t xml:space="preserve"> and non-profits</w:t>
      </w:r>
      <w:r w:rsidRPr="00AA5C19">
        <w:rPr>
          <w:rFonts w:ascii="Arial" w:hAnsi="Arial" w:cs="Arial"/>
        </w:rPr>
        <w:t>.</w:t>
      </w:r>
      <w:r w:rsidR="00CA05E4">
        <w:rPr>
          <w:rFonts w:ascii="Arial" w:hAnsi="Arial" w:cs="Arial"/>
        </w:rPr>
        <w:t> </w:t>
      </w:r>
      <w:hyperlink r:id="rId9" w:history="1">
        <w:r w:rsidR="00CA05E4">
          <w:rPr>
            <w:rStyle w:val="Hyperlink"/>
            <w:rFonts w:ascii="Arial" w:hAnsi="Arial" w:cs="Arial"/>
          </w:rPr>
          <w:t>www</w:t>
        </w:r>
        <w:r w:rsidR="00CA05E4" w:rsidRPr="00AA5C19">
          <w:rPr>
            <w:rStyle w:val="Hyperlink"/>
            <w:rFonts w:ascii="Arial" w:hAnsi="Arial" w:cs="Arial"/>
          </w:rPr>
          <w:t>.</w:t>
        </w:r>
        <w:r w:rsidR="00CA05E4">
          <w:rPr>
            <w:rStyle w:val="Hyperlink"/>
            <w:rFonts w:ascii="Arial" w:hAnsi="Arial" w:cs="Arial"/>
          </w:rPr>
          <w:t>dentons</w:t>
        </w:r>
        <w:r w:rsidR="00CA05E4" w:rsidRPr="00AA5C19">
          <w:rPr>
            <w:rStyle w:val="Hyperlink"/>
            <w:rFonts w:ascii="Arial" w:hAnsi="Arial" w:cs="Arial"/>
          </w:rPr>
          <w:t>.</w:t>
        </w:r>
        <w:r w:rsidR="00CA05E4">
          <w:rPr>
            <w:rStyle w:val="Hyperlink"/>
            <w:rFonts w:ascii="Arial" w:hAnsi="Arial" w:cs="Arial"/>
          </w:rPr>
          <w:t>com</w:t>
        </w:r>
      </w:hyperlink>
    </w:p>
    <w:p w:rsidR="00CA05E4" w:rsidRPr="00AA5C19" w:rsidRDefault="00CA05E4" w:rsidP="00CA05E4">
      <w:pPr>
        <w:tabs>
          <w:tab w:val="left" w:pos="1032"/>
        </w:tabs>
        <w:jc w:val="both"/>
        <w:rPr>
          <w:rFonts w:ascii="Arial" w:hAnsi="Arial" w:cs="Arial"/>
          <w:color w:val="000000"/>
          <w:sz w:val="20"/>
          <w:szCs w:val="20"/>
        </w:rPr>
      </w:pPr>
      <w:r w:rsidRPr="00AA5C19">
        <w:rPr>
          <w:rFonts w:ascii="Arial" w:hAnsi="Arial" w:cs="Arial"/>
          <w:color w:val="000000"/>
          <w:sz w:val="20"/>
          <w:szCs w:val="20"/>
        </w:rPr>
        <w:tab/>
      </w:r>
    </w:p>
    <w:p w:rsidR="00CA05E4" w:rsidRPr="00AA5C19" w:rsidRDefault="00CA05E4" w:rsidP="00CA05E4">
      <w:pPr>
        <w:jc w:val="both"/>
        <w:rPr>
          <w:rFonts w:ascii="Arial" w:hAnsi="Arial" w:cs="Arial"/>
          <w:i/>
          <w:color w:val="000000"/>
          <w:sz w:val="18"/>
          <w:szCs w:val="18"/>
        </w:rPr>
      </w:pPr>
      <w:r w:rsidRPr="00AA5C19">
        <w:rPr>
          <w:rFonts w:ascii="Arial" w:hAnsi="Arial" w:cs="Arial"/>
          <w:i/>
          <w:color w:val="000000"/>
          <w:sz w:val="18"/>
          <w:szCs w:val="18"/>
        </w:rPr>
        <w:t>* The American Lawyer</w:t>
      </w:r>
      <w:r w:rsidR="00653BA9" w:rsidRPr="00AA5C19">
        <w:rPr>
          <w:rFonts w:ascii="Arial" w:hAnsi="Arial" w:cs="Arial"/>
          <w:i/>
          <w:color w:val="000000"/>
          <w:sz w:val="18"/>
          <w:szCs w:val="18"/>
        </w:rPr>
        <w:t xml:space="preserve"> </w:t>
      </w:r>
      <w:r w:rsidR="00653BA9" w:rsidRPr="00AA5C19">
        <w:rPr>
          <w:rFonts w:ascii="Arial" w:hAnsi="Arial" w:cs="Arial"/>
          <w:color w:val="000000"/>
          <w:sz w:val="18"/>
          <w:szCs w:val="18"/>
        </w:rPr>
        <w:t>2017</w:t>
      </w:r>
      <w:r w:rsidRPr="00AA5C19">
        <w:rPr>
          <w:rFonts w:ascii="Arial" w:hAnsi="Arial" w:cs="Arial"/>
          <w:i/>
          <w:color w:val="000000"/>
          <w:sz w:val="18"/>
          <w:szCs w:val="18"/>
        </w:rPr>
        <w:t xml:space="preserve"> – </w:t>
      </w:r>
      <w:r w:rsidR="00AA5C19" w:rsidRPr="00AA5C19">
        <w:rPr>
          <w:rFonts w:ascii="Arial" w:hAnsi="Arial" w:cs="Arial"/>
          <w:bCs/>
          <w:i/>
          <w:iCs/>
          <w:color w:val="000000"/>
          <w:sz w:val="18"/>
          <w:szCs w:val="18"/>
        </w:rPr>
        <w:t>Ranking of 100 international law firms by number of lawyers (Global 100)</w:t>
      </w:r>
      <w:r w:rsidRPr="00AA5C19">
        <w:rPr>
          <w:rFonts w:ascii="Arial" w:hAnsi="Arial" w:cs="Arial"/>
          <w:i/>
          <w:color w:val="000000"/>
          <w:sz w:val="18"/>
          <w:szCs w:val="18"/>
        </w:rPr>
        <w:t>.</w:t>
      </w:r>
    </w:p>
    <w:p w:rsidR="007F56B8" w:rsidRPr="00AA5C19" w:rsidRDefault="007F56B8" w:rsidP="00CA05E4">
      <w:pPr>
        <w:spacing w:after="120"/>
        <w:jc w:val="both"/>
        <w:rPr>
          <w:rFonts w:ascii="Arial" w:hAnsi="Arial" w:cs="Arial"/>
          <w:sz w:val="20"/>
          <w:szCs w:val="20"/>
        </w:rPr>
      </w:pPr>
    </w:p>
    <w:sectPr w:rsidR="007F56B8" w:rsidRPr="00AA5C19" w:rsidSect="00072F01">
      <w:footerReference w:type="default" r:id="rId10"/>
      <w:pgSz w:w="11907" w:h="16839" w:code="9"/>
      <w:pgMar w:top="1417" w:right="1417" w:bottom="1417" w:left="1417" w:header="708" w:footer="5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27D" w:rsidRDefault="00C5327D" w:rsidP="00D42355">
      <w:r>
        <w:separator/>
      </w:r>
    </w:p>
  </w:endnote>
  <w:endnote w:type="continuationSeparator" w:id="1">
    <w:p w:rsidR="00C5327D" w:rsidRDefault="00C5327D" w:rsidP="00D423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CC"/>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355" w:rsidRDefault="00D42355">
    <w:pPr>
      <w:pStyle w:val="Footer"/>
    </w:pPr>
  </w:p>
  <w:p w:rsidR="00D42355" w:rsidRPr="00B63BE5" w:rsidRDefault="0036279E">
    <w:pPr>
      <w:pStyle w:val="Footer"/>
      <w:rPr>
        <w:color w:val="FFFFFF" w:themeColor="background1"/>
      </w:rPr>
    </w:pPr>
    <w:r w:rsidRPr="00B63BE5">
      <w:rPr>
        <w:color w:val="FFFFFF" w:themeColor="background1"/>
      </w:rPr>
      <w:fldChar w:fldCharType="begin"/>
    </w:r>
    <w:r w:rsidR="00D42355" w:rsidRPr="00B63BE5">
      <w:rPr>
        <w:rFonts w:ascii="Verdana" w:hAnsi="Verdana"/>
        <w:color w:val="FFFFFF" w:themeColor="background1"/>
        <w:sz w:val="16"/>
      </w:rPr>
      <w:instrText xml:space="preserve"> DOCPROPERTY ImanageFooterVariable </w:instrText>
    </w:r>
    <w:r w:rsidRPr="00B63BE5">
      <w:rPr>
        <w:color w:val="FFFFFF" w:themeColor="background1"/>
      </w:rPr>
      <w:fldChar w:fldCharType="separate"/>
    </w:r>
    <w:r w:rsidR="00987C30">
      <w:rPr>
        <w:rFonts w:ascii="Verdana" w:hAnsi="Verdana"/>
        <w:color w:val="FFFFFF" w:themeColor="background1"/>
        <w:sz w:val="16"/>
      </w:rPr>
      <w:t>Moscow 5435862.1</w:t>
    </w:r>
    <w:r w:rsidRPr="00B63BE5">
      <w:rPr>
        <w:color w:val="FFFFFF" w:themeColor="background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27D" w:rsidRDefault="00C5327D" w:rsidP="00D42355">
      <w:r>
        <w:separator/>
      </w:r>
    </w:p>
  </w:footnote>
  <w:footnote w:type="continuationSeparator" w:id="1">
    <w:p w:rsidR="00C5327D" w:rsidRDefault="00C5327D" w:rsidP="00D423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F0EC0"/>
    <w:multiLevelType w:val="hybridMultilevel"/>
    <w:tmpl w:val="F8A0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C66851"/>
    <w:multiLevelType w:val="hybridMultilevel"/>
    <w:tmpl w:val="825C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лексей Соколов">
    <w15:presenceInfo w15:providerId="Windows Live" w15:userId="fdade6a59ff1a86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70"/>
  <w:defaultTabStop w:val="720"/>
  <w:characterSpacingControl w:val="doNotCompress"/>
  <w:footnotePr>
    <w:footnote w:id="0"/>
    <w:footnote w:id="1"/>
  </w:footnotePr>
  <w:endnotePr>
    <w:endnote w:id="0"/>
    <w:endnote w:id="1"/>
  </w:endnotePr>
  <w:compat/>
  <w:docVars>
    <w:docVar w:name="dgnword-docGUID" w:val="{4B61DCDB-0D4A-41BE-8E09-D90BAF13634D}"/>
    <w:docVar w:name="dgnword-eventsink" w:val="363338632"/>
  </w:docVars>
  <w:rsids>
    <w:rsidRoot w:val="00EE0330"/>
    <w:rsid w:val="00003AF2"/>
    <w:rsid w:val="0001634F"/>
    <w:rsid w:val="00020230"/>
    <w:rsid w:val="00024C22"/>
    <w:rsid w:val="00044365"/>
    <w:rsid w:val="00052E68"/>
    <w:rsid w:val="00072F01"/>
    <w:rsid w:val="00094CF6"/>
    <w:rsid w:val="000A37F8"/>
    <w:rsid w:val="000C67FF"/>
    <w:rsid w:val="000F0B5A"/>
    <w:rsid w:val="000F1116"/>
    <w:rsid w:val="000F432E"/>
    <w:rsid w:val="00161FEE"/>
    <w:rsid w:val="001D2713"/>
    <w:rsid w:val="00225A8D"/>
    <w:rsid w:val="00260469"/>
    <w:rsid w:val="00291160"/>
    <w:rsid w:val="002917F9"/>
    <w:rsid w:val="002A2209"/>
    <w:rsid w:val="002D5491"/>
    <w:rsid w:val="002F2CF6"/>
    <w:rsid w:val="002F6B5F"/>
    <w:rsid w:val="0036279E"/>
    <w:rsid w:val="003A1794"/>
    <w:rsid w:val="003D4881"/>
    <w:rsid w:val="003E3335"/>
    <w:rsid w:val="00472674"/>
    <w:rsid w:val="00493544"/>
    <w:rsid w:val="00494510"/>
    <w:rsid w:val="004D16A2"/>
    <w:rsid w:val="004D5FCF"/>
    <w:rsid w:val="004D77C3"/>
    <w:rsid w:val="0050603D"/>
    <w:rsid w:val="00560C7A"/>
    <w:rsid w:val="00596E25"/>
    <w:rsid w:val="005B7D25"/>
    <w:rsid w:val="005C6219"/>
    <w:rsid w:val="005E215B"/>
    <w:rsid w:val="00605CE5"/>
    <w:rsid w:val="006442AF"/>
    <w:rsid w:val="00646B4C"/>
    <w:rsid w:val="00653BA9"/>
    <w:rsid w:val="0066312F"/>
    <w:rsid w:val="00664528"/>
    <w:rsid w:val="00684882"/>
    <w:rsid w:val="006A6855"/>
    <w:rsid w:val="006C47DA"/>
    <w:rsid w:val="006C558E"/>
    <w:rsid w:val="006F3F12"/>
    <w:rsid w:val="007571B7"/>
    <w:rsid w:val="007A1C7F"/>
    <w:rsid w:val="007C2C5C"/>
    <w:rsid w:val="007E3D76"/>
    <w:rsid w:val="007F40DD"/>
    <w:rsid w:val="007F56B8"/>
    <w:rsid w:val="0083153F"/>
    <w:rsid w:val="008D44C3"/>
    <w:rsid w:val="008F10AC"/>
    <w:rsid w:val="0090728B"/>
    <w:rsid w:val="00927E5E"/>
    <w:rsid w:val="00987C30"/>
    <w:rsid w:val="00997E81"/>
    <w:rsid w:val="009D1E5C"/>
    <w:rsid w:val="009D451D"/>
    <w:rsid w:val="00A54081"/>
    <w:rsid w:val="00A7013E"/>
    <w:rsid w:val="00A76255"/>
    <w:rsid w:val="00A92E70"/>
    <w:rsid w:val="00AA5C19"/>
    <w:rsid w:val="00AC7599"/>
    <w:rsid w:val="00AD6976"/>
    <w:rsid w:val="00AE1A11"/>
    <w:rsid w:val="00B63BE5"/>
    <w:rsid w:val="00B64F31"/>
    <w:rsid w:val="00B81796"/>
    <w:rsid w:val="00C23ADE"/>
    <w:rsid w:val="00C363E1"/>
    <w:rsid w:val="00C5327D"/>
    <w:rsid w:val="00C84060"/>
    <w:rsid w:val="00CA05E4"/>
    <w:rsid w:val="00CB3791"/>
    <w:rsid w:val="00CB5691"/>
    <w:rsid w:val="00CE578B"/>
    <w:rsid w:val="00D05B5D"/>
    <w:rsid w:val="00D1379D"/>
    <w:rsid w:val="00D31EFA"/>
    <w:rsid w:val="00D42355"/>
    <w:rsid w:val="00D5309C"/>
    <w:rsid w:val="00D73800"/>
    <w:rsid w:val="00D94451"/>
    <w:rsid w:val="00DA58D5"/>
    <w:rsid w:val="00DA73E8"/>
    <w:rsid w:val="00DE0768"/>
    <w:rsid w:val="00E323FA"/>
    <w:rsid w:val="00E40E2F"/>
    <w:rsid w:val="00E5121B"/>
    <w:rsid w:val="00E97C29"/>
    <w:rsid w:val="00EE0330"/>
    <w:rsid w:val="00EF7ECD"/>
    <w:rsid w:val="00F265D5"/>
    <w:rsid w:val="00FC42FD"/>
    <w:rsid w:val="00FD49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33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5D5"/>
    <w:rPr>
      <w:rFonts w:ascii="Tahoma" w:hAnsi="Tahoma" w:cs="Tahoma"/>
      <w:sz w:val="16"/>
      <w:szCs w:val="16"/>
    </w:rPr>
  </w:style>
  <w:style w:type="character" w:customStyle="1" w:styleId="BalloonTextChar">
    <w:name w:val="Balloon Text Char"/>
    <w:basedOn w:val="DefaultParagraphFont"/>
    <w:link w:val="BalloonText"/>
    <w:uiPriority w:val="99"/>
    <w:semiHidden/>
    <w:rsid w:val="00F265D5"/>
    <w:rPr>
      <w:rFonts w:ascii="Tahoma" w:eastAsia="Calibri" w:hAnsi="Tahoma" w:cs="Tahoma"/>
      <w:sz w:val="16"/>
      <w:szCs w:val="16"/>
    </w:rPr>
  </w:style>
  <w:style w:type="paragraph" w:styleId="Header">
    <w:name w:val="header"/>
    <w:basedOn w:val="Normal"/>
    <w:link w:val="HeaderChar"/>
    <w:uiPriority w:val="99"/>
    <w:unhideWhenUsed/>
    <w:rsid w:val="00D42355"/>
    <w:pPr>
      <w:tabs>
        <w:tab w:val="center" w:pos="4844"/>
        <w:tab w:val="right" w:pos="9689"/>
      </w:tabs>
    </w:pPr>
  </w:style>
  <w:style w:type="character" w:customStyle="1" w:styleId="HeaderChar">
    <w:name w:val="Header Char"/>
    <w:basedOn w:val="DefaultParagraphFont"/>
    <w:link w:val="Header"/>
    <w:uiPriority w:val="99"/>
    <w:rsid w:val="00D42355"/>
    <w:rPr>
      <w:rFonts w:ascii="Calibri" w:eastAsia="Calibri" w:hAnsi="Calibri" w:cs="Times New Roman"/>
    </w:rPr>
  </w:style>
  <w:style w:type="paragraph" w:styleId="Footer">
    <w:name w:val="footer"/>
    <w:basedOn w:val="Normal"/>
    <w:link w:val="FooterChar"/>
    <w:uiPriority w:val="99"/>
    <w:unhideWhenUsed/>
    <w:rsid w:val="00D42355"/>
    <w:pPr>
      <w:tabs>
        <w:tab w:val="center" w:pos="4844"/>
        <w:tab w:val="right" w:pos="9689"/>
      </w:tabs>
    </w:pPr>
  </w:style>
  <w:style w:type="character" w:customStyle="1" w:styleId="FooterChar">
    <w:name w:val="Footer Char"/>
    <w:basedOn w:val="DefaultParagraphFont"/>
    <w:link w:val="Footer"/>
    <w:uiPriority w:val="99"/>
    <w:rsid w:val="00D42355"/>
    <w:rPr>
      <w:rFonts w:ascii="Calibri" w:eastAsia="Calibri" w:hAnsi="Calibri" w:cs="Times New Roman"/>
    </w:rPr>
  </w:style>
  <w:style w:type="paragraph" w:styleId="BodyText">
    <w:name w:val="Body Text"/>
    <w:basedOn w:val="Normal"/>
    <w:link w:val="BodyTextChar"/>
    <w:rsid w:val="00D42355"/>
    <w:pPr>
      <w:spacing w:after="240" w:line="276" w:lineRule="auto"/>
    </w:pPr>
    <w:rPr>
      <w:rFonts w:ascii="Arial" w:eastAsia="Times New Roman" w:hAnsi="Arial" w:cs="Arabic Transparent"/>
      <w:sz w:val="20"/>
      <w:szCs w:val="24"/>
      <w:lang w:val="en-GB"/>
    </w:rPr>
  </w:style>
  <w:style w:type="character" w:customStyle="1" w:styleId="BodyTextChar">
    <w:name w:val="Body Text Char"/>
    <w:basedOn w:val="DefaultParagraphFont"/>
    <w:link w:val="BodyText"/>
    <w:rsid w:val="00D42355"/>
    <w:rPr>
      <w:rFonts w:ascii="Arial" w:eastAsia="Times New Roman" w:hAnsi="Arial" w:cs="Arabic Transparent"/>
      <w:sz w:val="20"/>
      <w:szCs w:val="24"/>
      <w:lang w:val="en-GB"/>
    </w:rPr>
  </w:style>
  <w:style w:type="character" w:styleId="Hyperlink">
    <w:name w:val="Hyperlink"/>
    <w:uiPriority w:val="99"/>
    <w:rsid w:val="00D42355"/>
    <w:rPr>
      <w:color w:val="0000FF"/>
      <w:u w:val="single"/>
    </w:rPr>
  </w:style>
  <w:style w:type="paragraph" w:styleId="ListParagraph">
    <w:name w:val="List Paragraph"/>
    <w:basedOn w:val="Normal"/>
    <w:uiPriority w:val="34"/>
    <w:qFormat/>
    <w:rsid w:val="00653BA9"/>
    <w:pPr>
      <w:ind w:left="720"/>
      <w:contextualSpacing/>
    </w:pPr>
  </w:style>
  <w:style w:type="paragraph" w:styleId="NormalWeb">
    <w:name w:val="Normal (Web)"/>
    <w:basedOn w:val="Normal"/>
    <w:uiPriority w:val="99"/>
    <w:semiHidden/>
    <w:unhideWhenUsed/>
    <w:rsid w:val="00472674"/>
    <w:pPr>
      <w:spacing w:before="100" w:beforeAutospacing="1" w:after="100" w:afterAutospacing="1"/>
    </w:pPr>
    <w:rPr>
      <w:rFonts w:ascii="Times New Roman" w:eastAsia="Times New Roman" w:hAnsi="Times New Roman"/>
      <w:sz w:val="24"/>
      <w:szCs w:val="24"/>
    </w:rPr>
  </w:style>
  <w:style w:type="character" w:customStyle="1" w:styleId="b-articleintro1">
    <w:name w:val="b-article__intro1"/>
    <w:basedOn w:val="DefaultParagraphFont"/>
    <w:rsid w:val="005E215B"/>
    <w:rPr>
      <w:rFonts w:ascii="Arial" w:hAnsi="Arial" w:cs="Arial" w:hint="default"/>
      <w:b/>
      <w:bCs/>
      <w:color w:val="333333"/>
      <w:sz w:val="21"/>
      <w:szCs w:val="21"/>
    </w:rPr>
  </w:style>
  <w:style w:type="character" w:styleId="Emphasis">
    <w:name w:val="Emphasis"/>
    <w:basedOn w:val="DefaultParagraphFont"/>
    <w:uiPriority w:val="20"/>
    <w:qFormat/>
    <w:rsid w:val="00997E81"/>
    <w:rPr>
      <w:b/>
      <w:bCs/>
      <w:i w:val="0"/>
      <w:iCs w:val="0"/>
    </w:rPr>
  </w:style>
  <w:style w:type="character" w:customStyle="1" w:styleId="st1">
    <w:name w:val="st1"/>
    <w:basedOn w:val="DefaultParagraphFont"/>
    <w:rsid w:val="00997E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33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5D5"/>
    <w:rPr>
      <w:rFonts w:ascii="Tahoma" w:hAnsi="Tahoma" w:cs="Tahoma"/>
      <w:sz w:val="16"/>
      <w:szCs w:val="16"/>
    </w:rPr>
  </w:style>
  <w:style w:type="character" w:customStyle="1" w:styleId="BalloonTextChar">
    <w:name w:val="Balloon Text Char"/>
    <w:basedOn w:val="DefaultParagraphFont"/>
    <w:link w:val="BalloonText"/>
    <w:uiPriority w:val="99"/>
    <w:semiHidden/>
    <w:rsid w:val="00F265D5"/>
    <w:rPr>
      <w:rFonts w:ascii="Tahoma" w:eastAsia="Calibri" w:hAnsi="Tahoma" w:cs="Tahoma"/>
      <w:sz w:val="16"/>
      <w:szCs w:val="16"/>
    </w:rPr>
  </w:style>
  <w:style w:type="paragraph" w:styleId="Header">
    <w:name w:val="header"/>
    <w:basedOn w:val="Normal"/>
    <w:link w:val="HeaderChar"/>
    <w:uiPriority w:val="99"/>
    <w:unhideWhenUsed/>
    <w:rsid w:val="00D42355"/>
    <w:pPr>
      <w:tabs>
        <w:tab w:val="center" w:pos="4844"/>
        <w:tab w:val="right" w:pos="9689"/>
      </w:tabs>
    </w:pPr>
  </w:style>
  <w:style w:type="character" w:customStyle="1" w:styleId="HeaderChar">
    <w:name w:val="Header Char"/>
    <w:basedOn w:val="DefaultParagraphFont"/>
    <w:link w:val="Header"/>
    <w:uiPriority w:val="99"/>
    <w:rsid w:val="00D42355"/>
    <w:rPr>
      <w:rFonts w:ascii="Calibri" w:eastAsia="Calibri" w:hAnsi="Calibri" w:cs="Times New Roman"/>
    </w:rPr>
  </w:style>
  <w:style w:type="paragraph" w:styleId="Footer">
    <w:name w:val="footer"/>
    <w:basedOn w:val="Normal"/>
    <w:link w:val="FooterChar"/>
    <w:uiPriority w:val="99"/>
    <w:unhideWhenUsed/>
    <w:rsid w:val="00D42355"/>
    <w:pPr>
      <w:tabs>
        <w:tab w:val="center" w:pos="4844"/>
        <w:tab w:val="right" w:pos="9689"/>
      </w:tabs>
    </w:pPr>
  </w:style>
  <w:style w:type="character" w:customStyle="1" w:styleId="FooterChar">
    <w:name w:val="Footer Char"/>
    <w:basedOn w:val="DefaultParagraphFont"/>
    <w:link w:val="Footer"/>
    <w:uiPriority w:val="99"/>
    <w:rsid w:val="00D42355"/>
    <w:rPr>
      <w:rFonts w:ascii="Calibri" w:eastAsia="Calibri" w:hAnsi="Calibri" w:cs="Times New Roman"/>
    </w:rPr>
  </w:style>
  <w:style w:type="paragraph" w:styleId="BodyText">
    <w:name w:val="Body Text"/>
    <w:basedOn w:val="Normal"/>
    <w:link w:val="BodyTextChar"/>
    <w:rsid w:val="00D42355"/>
    <w:pPr>
      <w:spacing w:after="240" w:line="276" w:lineRule="auto"/>
    </w:pPr>
    <w:rPr>
      <w:rFonts w:ascii="Arial" w:eastAsia="Times New Roman" w:hAnsi="Arial" w:cs="Arabic Transparent"/>
      <w:sz w:val="20"/>
      <w:szCs w:val="24"/>
      <w:lang w:val="en-GB"/>
    </w:rPr>
  </w:style>
  <w:style w:type="character" w:customStyle="1" w:styleId="BodyTextChar">
    <w:name w:val="Body Text Char"/>
    <w:basedOn w:val="DefaultParagraphFont"/>
    <w:link w:val="BodyText"/>
    <w:rsid w:val="00D42355"/>
    <w:rPr>
      <w:rFonts w:ascii="Arial" w:eastAsia="Times New Roman" w:hAnsi="Arial" w:cs="Arabic Transparent"/>
      <w:sz w:val="20"/>
      <w:szCs w:val="24"/>
      <w:lang w:val="en-GB"/>
    </w:rPr>
  </w:style>
  <w:style w:type="character" w:styleId="Hyperlink">
    <w:name w:val="Hyperlink"/>
    <w:uiPriority w:val="99"/>
    <w:rsid w:val="00D42355"/>
    <w:rPr>
      <w:color w:val="0000FF"/>
      <w:u w:val="single"/>
    </w:rPr>
  </w:style>
  <w:style w:type="paragraph" w:styleId="ListParagraph">
    <w:name w:val="List Paragraph"/>
    <w:basedOn w:val="Normal"/>
    <w:uiPriority w:val="34"/>
    <w:qFormat/>
    <w:rsid w:val="00653BA9"/>
    <w:pPr>
      <w:ind w:left="720"/>
      <w:contextualSpacing/>
    </w:pPr>
  </w:style>
  <w:style w:type="paragraph" w:styleId="NormalWeb">
    <w:name w:val="Normal (Web)"/>
    <w:basedOn w:val="Normal"/>
    <w:uiPriority w:val="99"/>
    <w:semiHidden/>
    <w:unhideWhenUsed/>
    <w:rsid w:val="00472674"/>
    <w:pPr>
      <w:spacing w:before="100" w:beforeAutospacing="1" w:after="100" w:afterAutospacing="1"/>
    </w:pPr>
    <w:rPr>
      <w:rFonts w:ascii="Times New Roman" w:eastAsia="Times New Roman" w:hAnsi="Times New Roman"/>
      <w:sz w:val="24"/>
      <w:szCs w:val="24"/>
    </w:rPr>
  </w:style>
  <w:style w:type="character" w:customStyle="1" w:styleId="b-articleintro1">
    <w:name w:val="b-article__intro1"/>
    <w:basedOn w:val="DefaultParagraphFont"/>
    <w:rsid w:val="005E215B"/>
    <w:rPr>
      <w:rFonts w:ascii="Arial" w:hAnsi="Arial" w:cs="Arial" w:hint="default"/>
      <w:b/>
      <w:bCs/>
      <w:color w:val="333333"/>
      <w:sz w:val="21"/>
      <w:szCs w:val="21"/>
    </w:rPr>
  </w:style>
  <w:style w:type="character" w:styleId="Emphasis">
    <w:name w:val="Emphasis"/>
    <w:basedOn w:val="DefaultParagraphFont"/>
    <w:uiPriority w:val="20"/>
    <w:qFormat/>
    <w:rsid w:val="00997E81"/>
    <w:rPr>
      <w:b/>
      <w:bCs/>
      <w:i w:val="0"/>
      <w:iCs w:val="0"/>
    </w:rPr>
  </w:style>
  <w:style w:type="character" w:customStyle="1" w:styleId="st1">
    <w:name w:val="st1"/>
    <w:basedOn w:val="DefaultParagraphFont"/>
    <w:rsid w:val="00997E81"/>
  </w:style>
</w:styles>
</file>

<file path=word/webSettings.xml><?xml version="1.0" encoding="utf-8"?>
<w:webSettings xmlns:r="http://schemas.openxmlformats.org/officeDocument/2006/relationships" xmlns:w="http://schemas.openxmlformats.org/wordprocessingml/2006/main">
  <w:divs>
    <w:div w:id="79835691">
      <w:bodyDiv w:val="1"/>
      <w:marLeft w:val="0"/>
      <w:marRight w:val="0"/>
      <w:marTop w:val="0"/>
      <w:marBottom w:val="0"/>
      <w:divBdr>
        <w:top w:val="none" w:sz="0" w:space="0" w:color="auto"/>
        <w:left w:val="none" w:sz="0" w:space="0" w:color="auto"/>
        <w:bottom w:val="none" w:sz="0" w:space="0" w:color="auto"/>
        <w:right w:val="none" w:sz="0" w:space="0" w:color="auto"/>
      </w:divBdr>
    </w:div>
    <w:div w:id="144471457">
      <w:bodyDiv w:val="1"/>
      <w:marLeft w:val="0"/>
      <w:marRight w:val="0"/>
      <w:marTop w:val="0"/>
      <w:marBottom w:val="0"/>
      <w:divBdr>
        <w:top w:val="none" w:sz="0" w:space="0" w:color="auto"/>
        <w:left w:val="none" w:sz="0" w:space="0" w:color="auto"/>
        <w:bottom w:val="none" w:sz="0" w:space="0" w:color="auto"/>
        <w:right w:val="none" w:sz="0" w:space="0" w:color="auto"/>
      </w:divBdr>
    </w:div>
    <w:div w:id="381490873">
      <w:bodyDiv w:val="1"/>
      <w:marLeft w:val="0"/>
      <w:marRight w:val="0"/>
      <w:marTop w:val="0"/>
      <w:marBottom w:val="0"/>
      <w:divBdr>
        <w:top w:val="none" w:sz="0" w:space="0" w:color="auto"/>
        <w:left w:val="none" w:sz="0" w:space="0" w:color="auto"/>
        <w:bottom w:val="none" w:sz="0" w:space="0" w:color="auto"/>
        <w:right w:val="none" w:sz="0" w:space="0" w:color="auto"/>
      </w:divBdr>
    </w:div>
    <w:div w:id="469859921">
      <w:bodyDiv w:val="1"/>
      <w:marLeft w:val="0"/>
      <w:marRight w:val="0"/>
      <w:marTop w:val="0"/>
      <w:marBottom w:val="0"/>
      <w:divBdr>
        <w:top w:val="none" w:sz="0" w:space="0" w:color="auto"/>
        <w:left w:val="none" w:sz="0" w:space="0" w:color="auto"/>
        <w:bottom w:val="none" w:sz="0" w:space="0" w:color="auto"/>
        <w:right w:val="none" w:sz="0" w:space="0" w:color="auto"/>
      </w:divBdr>
    </w:div>
    <w:div w:id="528489860">
      <w:bodyDiv w:val="1"/>
      <w:marLeft w:val="0"/>
      <w:marRight w:val="0"/>
      <w:marTop w:val="0"/>
      <w:marBottom w:val="0"/>
      <w:divBdr>
        <w:top w:val="none" w:sz="0" w:space="0" w:color="auto"/>
        <w:left w:val="none" w:sz="0" w:space="0" w:color="auto"/>
        <w:bottom w:val="none" w:sz="0" w:space="0" w:color="auto"/>
        <w:right w:val="none" w:sz="0" w:space="0" w:color="auto"/>
      </w:divBdr>
    </w:div>
    <w:div w:id="954362085">
      <w:bodyDiv w:val="1"/>
      <w:marLeft w:val="0"/>
      <w:marRight w:val="0"/>
      <w:marTop w:val="0"/>
      <w:marBottom w:val="0"/>
      <w:divBdr>
        <w:top w:val="none" w:sz="0" w:space="0" w:color="auto"/>
        <w:left w:val="none" w:sz="0" w:space="0" w:color="auto"/>
        <w:bottom w:val="none" w:sz="0" w:space="0" w:color="auto"/>
        <w:right w:val="none" w:sz="0" w:space="0" w:color="auto"/>
      </w:divBdr>
    </w:div>
    <w:div w:id="1124346519">
      <w:bodyDiv w:val="1"/>
      <w:marLeft w:val="0"/>
      <w:marRight w:val="0"/>
      <w:marTop w:val="0"/>
      <w:marBottom w:val="0"/>
      <w:divBdr>
        <w:top w:val="none" w:sz="0" w:space="0" w:color="auto"/>
        <w:left w:val="none" w:sz="0" w:space="0" w:color="auto"/>
        <w:bottom w:val="none" w:sz="0" w:space="0" w:color="auto"/>
        <w:right w:val="none" w:sz="0" w:space="0" w:color="auto"/>
      </w:divBdr>
    </w:div>
    <w:div w:id="1135948511">
      <w:bodyDiv w:val="1"/>
      <w:marLeft w:val="0"/>
      <w:marRight w:val="0"/>
      <w:marTop w:val="0"/>
      <w:marBottom w:val="0"/>
      <w:divBdr>
        <w:top w:val="none" w:sz="0" w:space="0" w:color="auto"/>
        <w:left w:val="none" w:sz="0" w:space="0" w:color="auto"/>
        <w:bottom w:val="none" w:sz="0" w:space="0" w:color="auto"/>
        <w:right w:val="none" w:sz="0" w:space="0" w:color="auto"/>
      </w:divBdr>
    </w:div>
    <w:div w:id="1447315882">
      <w:bodyDiv w:val="1"/>
      <w:marLeft w:val="0"/>
      <w:marRight w:val="0"/>
      <w:marTop w:val="0"/>
      <w:marBottom w:val="0"/>
      <w:divBdr>
        <w:top w:val="none" w:sz="0" w:space="0" w:color="auto"/>
        <w:left w:val="none" w:sz="0" w:space="0" w:color="auto"/>
        <w:bottom w:val="none" w:sz="0" w:space="0" w:color="auto"/>
        <w:right w:val="none" w:sz="0" w:space="0" w:color="auto"/>
      </w:divBdr>
    </w:div>
    <w:div w:id="1587104929">
      <w:bodyDiv w:val="1"/>
      <w:marLeft w:val="0"/>
      <w:marRight w:val="0"/>
      <w:marTop w:val="0"/>
      <w:marBottom w:val="0"/>
      <w:divBdr>
        <w:top w:val="none" w:sz="0" w:space="0" w:color="auto"/>
        <w:left w:val="none" w:sz="0" w:space="0" w:color="auto"/>
        <w:bottom w:val="none" w:sz="0" w:space="0" w:color="auto"/>
        <w:right w:val="none" w:sz="0" w:space="0" w:color="auto"/>
      </w:divBdr>
    </w:div>
    <w:div w:id="167564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dent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603B6-DB97-4E57-ADC0-5CE5A7DB7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683</Words>
  <Characters>3896</Characters>
  <Application>Microsoft Office Word</Application>
  <DocSecurity>0</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4570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Author</cp:lastModifiedBy>
  <cp:revision>12</cp:revision>
  <cp:lastPrinted>2018-03-23T13:56:00Z</cp:lastPrinted>
  <dcterms:created xsi:type="dcterms:W3CDTF">2018-03-23T13:11:00Z</dcterms:created>
  <dcterms:modified xsi:type="dcterms:W3CDTF">2018-03-25T19:24:00Z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Variable">
    <vt:lpwstr>Moscow 5435862.1</vt:lpwstr>
  </property>
</Properties>
</file>