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31" w:rsidRPr="00E90A26" w:rsidRDefault="00415331" w:rsidP="00E90A26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002846"/>
          <w:sz w:val="20"/>
          <w:szCs w:val="20"/>
        </w:rPr>
      </w:pPr>
      <w:r w:rsidRPr="00E90A26">
        <w:rPr>
          <w:rFonts w:ascii="Arial" w:hAnsi="Arial" w:cs="Arial"/>
          <w:b/>
          <w:bCs/>
          <w:color w:val="002846"/>
          <w:sz w:val="20"/>
          <w:szCs w:val="20"/>
        </w:rPr>
        <w:t xml:space="preserve">How recent taxation trends affect Russian and foreign businesses in Russia </w:t>
      </w:r>
    </w:p>
    <w:p w:rsidR="00415331" w:rsidRPr="00E90A26" w:rsidRDefault="00415331" w:rsidP="00E90A26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90A26">
        <w:rPr>
          <w:rFonts w:ascii="Arial" w:hAnsi="Arial" w:cs="Arial"/>
          <w:b/>
          <w:bCs/>
          <w:color w:val="000000"/>
          <w:sz w:val="20"/>
          <w:szCs w:val="20"/>
        </w:rPr>
        <w:t>VEGAS LEX has hosted a roundtable on recent trends in tax administration, attended by Finance Ministry and Federal Tax Service experts.</w:t>
      </w:r>
    </w:p>
    <w:p w:rsidR="00415331" w:rsidRPr="00E90A26" w:rsidRDefault="00415331" w:rsidP="00E90A26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90A26">
        <w:rPr>
          <w:rFonts w:ascii="Arial" w:hAnsi="Arial" w:cs="Arial"/>
          <w:color w:val="000000"/>
          <w:sz w:val="20"/>
          <w:szCs w:val="20"/>
        </w:rPr>
        <w:t xml:space="preserve">On July 9, 2015, the VEGAS LEX law firm hosted a roundtable conference devoted to </w:t>
      </w:r>
      <w:r w:rsidR="0074561C" w:rsidRPr="00E90A26">
        <w:rPr>
          <w:rFonts w:ascii="Arial" w:hAnsi="Arial" w:cs="Arial"/>
          <w:color w:val="000000"/>
          <w:sz w:val="20"/>
          <w:szCs w:val="20"/>
        </w:rPr>
        <w:t xml:space="preserve">important </w:t>
      </w:r>
      <w:r w:rsidRPr="00E90A26">
        <w:rPr>
          <w:rFonts w:ascii="Arial" w:hAnsi="Arial" w:cs="Arial"/>
          <w:color w:val="000000"/>
          <w:sz w:val="20"/>
          <w:szCs w:val="20"/>
        </w:rPr>
        <w:t xml:space="preserve">changes and most recent trends in Russia’s tax </w:t>
      </w:r>
      <w:r w:rsidR="00AB1C76" w:rsidRPr="00E90A26">
        <w:rPr>
          <w:rFonts w:ascii="Arial" w:hAnsi="Arial" w:cs="Arial"/>
          <w:color w:val="000000"/>
          <w:sz w:val="20"/>
          <w:szCs w:val="20"/>
        </w:rPr>
        <w:t>legislation and court practice</w:t>
      </w:r>
      <w:r w:rsidR="0074561C" w:rsidRPr="00E90A26">
        <w:rPr>
          <w:rFonts w:ascii="Arial" w:hAnsi="Arial" w:cs="Arial"/>
          <w:color w:val="000000"/>
          <w:sz w:val="20"/>
          <w:szCs w:val="20"/>
        </w:rPr>
        <w:t>s</w:t>
      </w:r>
      <w:r w:rsidR="00AB1C76" w:rsidRPr="00E90A26">
        <w:rPr>
          <w:rFonts w:ascii="Arial" w:hAnsi="Arial" w:cs="Arial"/>
          <w:color w:val="000000"/>
          <w:sz w:val="20"/>
          <w:szCs w:val="20"/>
        </w:rPr>
        <w:t>.</w:t>
      </w:r>
    </w:p>
    <w:p w:rsidR="00AB1C76" w:rsidRPr="00E90A26" w:rsidRDefault="00AB1C76" w:rsidP="00E90A26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90A26">
        <w:rPr>
          <w:rFonts w:ascii="Arial" w:hAnsi="Arial" w:cs="Arial"/>
          <w:color w:val="000000"/>
          <w:sz w:val="20"/>
          <w:szCs w:val="20"/>
        </w:rPr>
        <w:t xml:space="preserve">Two guest speakers talked about this year’s changes in the tax laws and regulations and the main targets of the country’s tax policy for 2016-2018: </w:t>
      </w:r>
      <w:r w:rsidRPr="00E90A26">
        <w:rPr>
          <w:rFonts w:ascii="Arial" w:hAnsi="Arial" w:cs="Arial"/>
          <w:b/>
          <w:color w:val="000000"/>
          <w:sz w:val="20"/>
          <w:szCs w:val="20"/>
        </w:rPr>
        <w:t xml:space="preserve">Andrei </w:t>
      </w:r>
      <w:proofErr w:type="spellStart"/>
      <w:r w:rsidRPr="00E90A26">
        <w:rPr>
          <w:rFonts w:ascii="Arial" w:hAnsi="Arial" w:cs="Arial"/>
          <w:b/>
          <w:color w:val="000000"/>
          <w:sz w:val="20"/>
          <w:szCs w:val="20"/>
        </w:rPr>
        <w:t>Kizimov</w:t>
      </w:r>
      <w:proofErr w:type="spellEnd"/>
      <w:r w:rsidRPr="00E90A26">
        <w:rPr>
          <w:rFonts w:ascii="Arial" w:hAnsi="Arial" w:cs="Arial"/>
          <w:color w:val="000000"/>
          <w:sz w:val="20"/>
          <w:szCs w:val="20"/>
        </w:rPr>
        <w:t xml:space="preserve">, Deputy Director of the Russian Finance Ministry’s Department for Tax and Customs Policies, and </w:t>
      </w:r>
      <w:r w:rsidRPr="00E90A26">
        <w:rPr>
          <w:rFonts w:ascii="Arial" w:hAnsi="Arial" w:cs="Arial"/>
          <w:b/>
          <w:color w:val="000000"/>
          <w:sz w:val="20"/>
          <w:szCs w:val="20"/>
        </w:rPr>
        <w:t xml:space="preserve">Konstantin </w:t>
      </w:r>
      <w:proofErr w:type="spellStart"/>
      <w:r w:rsidRPr="00E90A26">
        <w:rPr>
          <w:rFonts w:ascii="Arial" w:hAnsi="Arial" w:cs="Arial"/>
          <w:b/>
          <w:color w:val="000000"/>
          <w:sz w:val="20"/>
          <w:szCs w:val="20"/>
        </w:rPr>
        <w:t>Novosyolov</w:t>
      </w:r>
      <w:proofErr w:type="spellEnd"/>
      <w:r w:rsidRPr="00E90A26">
        <w:rPr>
          <w:rFonts w:ascii="Arial" w:hAnsi="Arial" w:cs="Arial"/>
          <w:color w:val="000000"/>
          <w:sz w:val="20"/>
          <w:szCs w:val="20"/>
        </w:rPr>
        <w:t xml:space="preserve">, Deputy Head of the Federal Tax Service Control </w:t>
      </w:r>
      <w:proofErr w:type="spellStart"/>
      <w:r w:rsidRPr="00E90A26">
        <w:rPr>
          <w:rFonts w:ascii="Arial" w:hAnsi="Arial" w:cs="Arial"/>
          <w:color w:val="000000"/>
          <w:sz w:val="20"/>
          <w:szCs w:val="20"/>
        </w:rPr>
        <w:t>Deparment</w:t>
      </w:r>
      <w:proofErr w:type="spellEnd"/>
      <w:r w:rsidRPr="00E90A26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2C12C2" w:rsidRPr="00E90A26" w:rsidRDefault="00AB1C76" w:rsidP="00E90A2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0A26">
        <w:rPr>
          <w:rFonts w:ascii="Arial" w:hAnsi="Arial" w:cs="Arial"/>
          <w:color w:val="000000"/>
          <w:sz w:val="20"/>
          <w:szCs w:val="20"/>
        </w:rPr>
        <w:t xml:space="preserve">VEGAS LEX Tax Practice associate </w:t>
      </w:r>
      <w:r w:rsidRPr="00E90A26">
        <w:rPr>
          <w:rFonts w:ascii="Arial" w:hAnsi="Arial" w:cs="Arial"/>
          <w:b/>
          <w:color w:val="000000"/>
          <w:sz w:val="20"/>
          <w:szCs w:val="20"/>
        </w:rPr>
        <w:t xml:space="preserve">Nikolai </w:t>
      </w:r>
      <w:proofErr w:type="spellStart"/>
      <w:r w:rsidRPr="00E90A26">
        <w:rPr>
          <w:rFonts w:ascii="Arial" w:hAnsi="Arial" w:cs="Arial"/>
          <w:b/>
          <w:color w:val="000000"/>
          <w:sz w:val="20"/>
          <w:szCs w:val="20"/>
        </w:rPr>
        <w:t>Rudomanov’s</w:t>
      </w:r>
      <w:proofErr w:type="spellEnd"/>
      <w:r w:rsidRPr="00E90A26">
        <w:rPr>
          <w:rFonts w:ascii="Arial" w:hAnsi="Arial" w:cs="Arial"/>
          <w:color w:val="000000"/>
          <w:sz w:val="20"/>
          <w:szCs w:val="20"/>
        </w:rPr>
        <w:t xml:space="preserve"> presentation focused </w:t>
      </w:r>
      <w:r w:rsidR="00BE0AB6" w:rsidRPr="00E90A26">
        <w:rPr>
          <w:rFonts w:ascii="Arial" w:hAnsi="Arial" w:cs="Arial"/>
          <w:color w:val="000000"/>
          <w:sz w:val="20"/>
          <w:szCs w:val="20"/>
        </w:rPr>
        <w:t xml:space="preserve">on </w:t>
      </w:r>
      <w:r w:rsidRPr="00E90A26">
        <w:rPr>
          <w:rFonts w:ascii="Arial" w:hAnsi="Arial" w:cs="Arial"/>
          <w:color w:val="000000"/>
          <w:sz w:val="20"/>
          <w:szCs w:val="20"/>
        </w:rPr>
        <w:t xml:space="preserve">applying the </w:t>
      </w:r>
      <w:r w:rsidR="00BE0AB6" w:rsidRPr="00E90A26">
        <w:rPr>
          <w:rFonts w:ascii="Arial" w:hAnsi="Arial" w:cs="Arial"/>
          <w:color w:val="000000"/>
          <w:sz w:val="20"/>
          <w:szCs w:val="20"/>
        </w:rPr>
        <w:t xml:space="preserve">controlled foreign corporation </w:t>
      </w:r>
      <w:r w:rsidRPr="00E90A26">
        <w:rPr>
          <w:rFonts w:ascii="Arial" w:hAnsi="Arial" w:cs="Arial"/>
          <w:color w:val="000000"/>
          <w:sz w:val="20"/>
          <w:szCs w:val="20"/>
        </w:rPr>
        <w:t xml:space="preserve">rules and capital amnesty legislation. He talked about </w:t>
      </w:r>
      <w:r w:rsidR="00BE0AB6" w:rsidRPr="00E90A26">
        <w:rPr>
          <w:rFonts w:ascii="Arial" w:hAnsi="Arial" w:cs="Arial"/>
          <w:color w:val="000000"/>
          <w:sz w:val="20"/>
          <w:szCs w:val="20"/>
        </w:rPr>
        <w:t xml:space="preserve">several </w:t>
      </w:r>
      <w:r w:rsidRPr="00E90A26">
        <w:rPr>
          <w:rFonts w:ascii="Arial" w:hAnsi="Arial" w:cs="Arial"/>
          <w:color w:val="000000"/>
          <w:sz w:val="20"/>
          <w:szCs w:val="20"/>
        </w:rPr>
        <w:t xml:space="preserve">high-profile tax disputes involving foreign companies’ operation in Russia, </w:t>
      </w:r>
      <w:hyperlink r:id="rId4" w:tgtFrame="_blank" w:history="1">
        <w:r w:rsidRPr="00E90A26">
          <w:rPr>
            <w:rStyle w:val="a4"/>
            <w:rFonts w:ascii="Arial" w:hAnsi="Arial" w:cs="Arial"/>
            <w:color w:val="660099"/>
            <w:sz w:val="20"/>
            <w:szCs w:val="20"/>
          </w:rPr>
          <w:t>international exchange of tax information</w:t>
        </w:r>
      </w:hyperlink>
      <w:r w:rsidRPr="00E90A26">
        <w:rPr>
          <w:rFonts w:ascii="Arial" w:hAnsi="Arial" w:cs="Arial"/>
          <w:color w:val="000000"/>
          <w:sz w:val="20"/>
          <w:szCs w:val="20"/>
        </w:rPr>
        <w:t xml:space="preserve">, </w:t>
      </w:r>
      <w:r w:rsidR="002C12C2" w:rsidRPr="00E90A26">
        <w:rPr>
          <w:rFonts w:ascii="Arial" w:hAnsi="Arial" w:cs="Arial"/>
          <w:color w:val="000000"/>
          <w:sz w:val="20"/>
          <w:szCs w:val="20"/>
        </w:rPr>
        <w:t xml:space="preserve">ways to track down undisclosed affiliates, and </w:t>
      </w:r>
      <w:hyperlink r:id="rId5" w:tgtFrame="_blank" w:history="1">
        <w:r w:rsidR="002C12C2" w:rsidRPr="00E90A26">
          <w:rPr>
            <w:rStyle w:val="a4"/>
            <w:rFonts w:ascii="Arial" w:hAnsi="Arial" w:cs="Arial"/>
            <w:color w:val="660099"/>
            <w:sz w:val="20"/>
            <w:szCs w:val="20"/>
          </w:rPr>
          <w:t xml:space="preserve">important innovations </w:t>
        </w:r>
        <w:r w:rsidR="00BE0AB6" w:rsidRPr="00E90A26">
          <w:rPr>
            <w:rStyle w:val="a4"/>
            <w:rFonts w:ascii="Arial" w:hAnsi="Arial" w:cs="Arial"/>
            <w:color w:val="660099"/>
            <w:sz w:val="20"/>
            <w:szCs w:val="20"/>
          </w:rPr>
          <w:t>concerning</w:t>
        </w:r>
        <w:r w:rsidR="002C12C2" w:rsidRPr="00E90A26">
          <w:rPr>
            <w:rStyle w:val="a4"/>
            <w:rFonts w:ascii="Arial" w:hAnsi="Arial" w:cs="Arial"/>
            <w:color w:val="660099"/>
            <w:sz w:val="20"/>
            <w:szCs w:val="20"/>
          </w:rPr>
          <w:t xml:space="preserve"> tax residence of foreign companies</w:t>
        </w:r>
      </w:hyperlink>
      <w:r w:rsidR="002C12C2" w:rsidRPr="00E90A26">
        <w:rPr>
          <w:rFonts w:ascii="Arial" w:hAnsi="Arial" w:cs="Arial"/>
          <w:color w:val="000000"/>
          <w:sz w:val="20"/>
          <w:szCs w:val="20"/>
        </w:rPr>
        <w:t>.</w:t>
      </w:r>
    </w:p>
    <w:p w:rsidR="00BE0AB6" w:rsidRPr="00E90A26" w:rsidRDefault="00BE0AB6" w:rsidP="00E90A26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90A26">
        <w:rPr>
          <w:rFonts w:ascii="Arial" w:hAnsi="Arial" w:cs="Arial"/>
          <w:color w:val="000000"/>
          <w:sz w:val="20"/>
          <w:szCs w:val="20"/>
        </w:rPr>
        <w:t xml:space="preserve">Head of Tax Practice </w:t>
      </w:r>
      <w:hyperlink r:id="rId6" w:history="1">
        <w:proofErr w:type="spellStart"/>
        <w:r w:rsidRPr="00E90A26">
          <w:rPr>
            <w:rStyle w:val="a4"/>
            <w:rFonts w:ascii="Arial" w:hAnsi="Arial" w:cs="Arial"/>
            <w:sz w:val="20"/>
            <w:szCs w:val="20"/>
          </w:rPr>
          <w:t>Yury</w:t>
        </w:r>
        <w:proofErr w:type="spellEnd"/>
        <w:r w:rsidRPr="00E90A26">
          <w:rPr>
            <w:rStyle w:val="a4"/>
            <w:rFonts w:ascii="Arial" w:hAnsi="Arial" w:cs="Arial"/>
            <w:sz w:val="20"/>
            <w:szCs w:val="20"/>
          </w:rPr>
          <w:t xml:space="preserve"> Ivanov</w:t>
        </w:r>
      </w:hyperlink>
      <w:r w:rsidRPr="00E90A2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cited some recent trends in court practice, citing actual </w:t>
      </w:r>
      <w:r w:rsidR="006D0DE0" w:rsidRPr="00E90A2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court rulings and orders to show how taxpayers can substantiate their rights before a tax authority, and in what cases </w:t>
      </w:r>
      <w:proofErr w:type="gramStart"/>
      <w:r w:rsidR="006D0DE0" w:rsidRPr="00E90A26">
        <w:rPr>
          <w:rStyle w:val="apple-converted-space"/>
          <w:rFonts w:ascii="Arial" w:hAnsi="Arial" w:cs="Arial"/>
          <w:color w:val="000000"/>
          <w:sz w:val="20"/>
          <w:szCs w:val="20"/>
        </w:rPr>
        <w:t>their rights are restricted by law</w:t>
      </w:r>
      <w:proofErr w:type="gramEnd"/>
      <w:r w:rsidR="006D0DE0" w:rsidRPr="00E90A2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. He discussed in detail the court practice related to tax crimes, damages claims (taxes, penalties or fines) against a convicted business leader; and pointed out the possibility of </w:t>
      </w:r>
      <w:r w:rsidR="008A6D96" w:rsidRPr="00E90A26">
        <w:rPr>
          <w:rStyle w:val="apple-converted-space"/>
          <w:rFonts w:ascii="Arial" w:hAnsi="Arial" w:cs="Arial"/>
          <w:color w:val="000000"/>
          <w:sz w:val="20"/>
          <w:szCs w:val="20"/>
        </w:rPr>
        <w:t>suing for moral damages in the event of unlawful criminal prosecution.</w:t>
      </w:r>
    </w:p>
    <w:p w:rsidR="008A6D96" w:rsidRPr="00E90A26" w:rsidRDefault="008A6D96" w:rsidP="00E90A26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90A26">
        <w:rPr>
          <w:rFonts w:ascii="Arial" w:hAnsi="Arial" w:cs="Arial"/>
          <w:color w:val="000000"/>
          <w:sz w:val="20"/>
          <w:szCs w:val="20"/>
        </w:rPr>
        <w:t xml:space="preserve">The event was attended by representatives of </w:t>
      </w:r>
      <w:proofErr w:type="gramStart"/>
      <w:r w:rsidRPr="00E90A26">
        <w:rPr>
          <w:rFonts w:ascii="Arial" w:hAnsi="Arial" w:cs="Arial"/>
          <w:color w:val="000000"/>
          <w:sz w:val="20"/>
          <w:szCs w:val="20"/>
        </w:rPr>
        <w:t>major</w:t>
      </w:r>
      <w:proofErr w:type="gramEnd"/>
      <w:r w:rsidRPr="00E90A26">
        <w:rPr>
          <w:rFonts w:ascii="Arial" w:hAnsi="Arial" w:cs="Arial"/>
          <w:color w:val="000000"/>
          <w:sz w:val="20"/>
          <w:szCs w:val="20"/>
        </w:rPr>
        <w:t xml:space="preserve"> Russian and foreign companies including </w:t>
      </w:r>
      <w:proofErr w:type="spellStart"/>
      <w:r w:rsidRPr="00E90A26">
        <w:rPr>
          <w:rFonts w:ascii="Arial" w:hAnsi="Arial" w:cs="Arial"/>
          <w:color w:val="000000"/>
          <w:sz w:val="20"/>
          <w:szCs w:val="20"/>
        </w:rPr>
        <w:t>Gazprombank</w:t>
      </w:r>
      <w:proofErr w:type="spellEnd"/>
      <w:r w:rsidRPr="00E90A2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0A26">
        <w:rPr>
          <w:rFonts w:ascii="Arial" w:hAnsi="Arial" w:cs="Arial"/>
          <w:color w:val="000000"/>
          <w:sz w:val="20"/>
          <w:szCs w:val="20"/>
        </w:rPr>
        <w:t>Rosmorport</w:t>
      </w:r>
      <w:proofErr w:type="spellEnd"/>
      <w:r w:rsidRPr="00E90A26">
        <w:rPr>
          <w:rFonts w:ascii="Arial" w:hAnsi="Arial" w:cs="Arial"/>
          <w:color w:val="000000"/>
          <w:sz w:val="20"/>
          <w:szCs w:val="20"/>
        </w:rPr>
        <w:t xml:space="preserve">, State Transport Leasing Company, Russian Helicopters, </w:t>
      </w:r>
      <w:proofErr w:type="spellStart"/>
      <w:r w:rsidRPr="00E90A26">
        <w:rPr>
          <w:rFonts w:ascii="Arial" w:hAnsi="Arial" w:cs="Arial"/>
          <w:color w:val="000000"/>
          <w:sz w:val="20"/>
          <w:szCs w:val="20"/>
        </w:rPr>
        <w:t>Neftisa</w:t>
      </w:r>
      <w:proofErr w:type="spellEnd"/>
      <w:r w:rsidRPr="00E90A2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0A26">
        <w:rPr>
          <w:rFonts w:ascii="Arial" w:hAnsi="Arial" w:cs="Arial"/>
          <w:color w:val="000000"/>
          <w:sz w:val="20"/>
          <w:szCs w:val="20"/>
        </w:rPr>
        <w:t>Bashkirian</w:t>
      </w:r>
      <w:proofErr w:type="spellEnd"/>
      <w:r w:rsidRPr="00E90A26">
        <w:rPr>
          <w:rFonts w:ascii="Arial" w:hAnsi="Arial" w:cs="Arial"/>
          <w:color w:val="000000"/>
          <w:sz w:val="20"/>
          <w:szCs w:val="20"/>
        </w:rPr>
        <w:t xml:space="preserve"> Power Grid Company</w:t>
      </w:r>
      <w:r w:rsidR="00592F69" w:rsidRPr="00E90A2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92F69" w:rsidRPr="00E90A26">
        <w:rPr>
          <w:rFonts w:ascii="Arial" w:hAnsi="Arial" w:cs="Arial"/>
          <w:color w:val="000000"/>
          <w:sz w:val="20"/>
          <w:szCs w:val="20"/>
        </w:rPr>
        <w:t>Auchan</w:t>
      </w:r>
      <w:proofErr w:type="spellEnd"/>
      <w:r w:rsidR="00592F69" w:rsidRPr="00E90A26">
        <w:rPr>
          <w:rFonts w:ascii="Arial" w:hAnsi="Arial" w:cs="Arial"/>
          <w:color w:val="000000"/>
          <w:sz w:val="20"/>
          <w:szCs w:val="20"/>
        </w:rPr>
        <w:t>, AstraZeneca Russia, EWI Capital Limited, 1C-Bitrix and others.</w:t>
      </w:r>
    </w:p>
    <w:p w:rsidR="00415331" w:rsidRPr="00E90A26" w:rsidRDefault="00415331" w:rsidP="00E90A26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90A26">
        <w:rPr>
          <w:rFonts w:ascii="Arial" w:hAnsi="Arial" w:cs="Arial"/>
          <w:i/>
          <w:iCs/>
          <w:color w:val="636F78"/>
          <w:sz w:val="20"/>
          <w:szCs w:val="20"/>
        </w:rPr>
        <w:t>***</w:t>
      </w:r>
    </w:p>
    <w:p w:rsidR="00415331" w:rsidRPr="00E90A26" w:rsidRDefault="00415331" w:rsidP="00E90A26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90A26">
        <w:rPr>
          <w:rFonts w:ascii="Arial" w:hAnsi="Arial" w:cs="Arial"/>
          <w:i/>
          <w:iCs/>
          <w:color w:val="636F78"/>
          <w:sz w:val="20"/>
          <w:szCs w:val="20"/>
        </w:rPr>
        <w:t>*</w:t>
      </w:r>
      <w:r w:rsidR="00592F69" w:rsidRPr="00E90A26">
        <w:rPr>
          <w:rFonts w:ascii="Arial" w:hAnsi="Arial" w:cs="Arial"/>
          <w:i/>
          <w:iCs/>
          <w:color w:val="636F78"/>
          <w:sz w:val="20"/>
          <w:szCs w:val="20"/>
        </w:rPr>
        <w:t xml:space="preserve">For more information on VEGAS LEX’s tax law services, please go </w:t>
      </w:r>
      <w:hyperlink r:id="rId7" w:history="1">
        <w:r w:rsidR="00592F69" w:rsidRPr="00E90A26">
          <w:rPr>
            <w:rStyle w:val="a4"/>
            <w:rFonts w:ascii="Arial" w:hAnsi="Arial" w:cs="Arial"/>
            <w:i/>
            <w:iCs/>
            <w:sz w:val="20"/>
            <w:szCs w:val="20"/>
          </w:rPr>
          <w:t>here</w:t>
        </w:r>
      </w:hyperlink>
      <w:r w:rsidRPr="00E90A2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426E33" w:rsidRPr="00E90A26" w:rsidRDefault="00426E33" w:rsidP="00E90A2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26E33" w:rsidRPr="00E9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31"/>
    <w:rsid w:val="000C3DE5"/>
    <w:rsid w:val="002C12C2"/>
    <w:rsid w:val="00415331"/>
    <w:rsid w:val="00426E33"/>
    <w:rsid w:val="00592F69"/>
    <w:rsid w:val="006D0DE0"/>
    <w:rsid w:val="0074561C"/>
    <w:rsid w:val="008A6D96"/>
    <w:rsid w:val="00AB1C76"/>
    <w:rsid w:val="00BE0AB6"/>
    <w:rsid w:val="00E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9B1E-EBBD-4915-999C-CE15268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5331"/>
  </w:style>
  <w:style w:type="character" w:styleId="a4">
    <w:name w:val="Hyperlink"/>
    <w:basedOn w:val="a0"/>
    <w:uiPriority w:val="99"/>
    <w:unhideWhenUsed/>
    <w:rsid w:val="0041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vegaslex.ru/en/section/205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vegaslex.ru/en/text/31063" TargetMode="External"/><Relationship Id="rId5" Type="http://schemas.openxmlformats.org/officeDocument/2006/relationships/hyperlink" Target="http://www.vegaslex.ru/analitics/analytical_reviews/the_change_in_the_timing_and_order_of_declaring_of_foreign_organizations_and_structures/" TargetMode="External"/><Relationship Id="rId4" Type="http://schemas.openxmlformats.org/officeDocument/2006/relationships/hyperlink" Target="http://www.vegaslex.ru/analitics/analytical_reviews/810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Grigoryan, Liana</cp:lastModifiedBy>
  <cp:revision>2</cp:revision>
  <dcterms:created xsi:type="dcterms:W3CDTF">2015-07-13T09:02:00Z</dcterms:created>
  <dcterms:modified xsi:type="dcterms:W3CDTF">2015-07-13T09:02:00Z</dcterms:modified>
</cp:coreProperties>
</file>