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E9E" w:rsidRPr="00293B7F" w:rsidRDefault="006539CB" w:rsidP="006539CB">
      <w:pPr>
        <w:ind w:firstLine="708"/>
      </w:pPr>
      <w:r>
        <w:rPr>
          <w:noProof/>
          <w:lang w:eastAsia="zh-CN"/>
        </w:rPr>
        <w:drawing>
          <wp:inline distT="0" distB="0" distL="0" distR="0" wp14:anchorId="59BD9381" wp14:editId="58D09B19">
            <wp:extent cx="1691226" cy="114300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6024" cy="1146242"/>
                    </a:xfrm>
                    <a:prstGeom prst="rect">
                      <a:avLst/>
                    </a:prstGeom>
                    <a:noFill/>
                    <a:ln>
                      <a:noFill/>
                    </a:ln>
                  </pic:spPr>
                </pic:pic>
              </a:graphicData>
            </a:graphic>
          </wp:inline>
        </w:drawing>
      </w:r>
      <w:r>
        <w:tab/>
      </w:r>
      <w:r>
        <w:tab/>
      </w:r>
      <w:r>
        <w:tab/>
      </w:r>
      <w:r>
        <w:tab/>
      </w:r>
      <w:r>
        <w:tab/>
      </w:r>
      <w:r>
        <w:rPr>
          <w:noProof/>
          <w:lang w:eastAsia="zh-CN"/>
        </w:rPr>
        <w:drawing>
          <wp:inline distT="0" distB="0" distL="0" distR="0" wp14:anchorId="55DAE2C0" wp14:editId="4939C354">
            <wp:extent cx="1422511" cy="1133475"/>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9062" cy="1138695"/>
                    </a:xfrm>
                    <a:prstGeom prst="rect">
                      <a:avLst/>
                    </a:prstGeom>
                    <a:noFill/>
                    <a:ln>
                      <a:noFill/>
                    </a:ln>
                  </pic:spPr>
                </pic:pic>
              </a:graphicData>
            </a:graphic>
          </wp:inline>
        </w:drawing>
      </w:r>
    </w:p>
    <w:p w:rsidR="006539CB" w:rsidRPr="00293B7F" w:rsidRDefault="006539CB" w:rsidP="006539CB">
      <w:pPr>
        <w:ind w:firstLine="708"/>
      </w:pPr>
    </w:p>
    <w:p w:rsidR="006539CB" w:rsidRPr="00293B7F" w:rsidRDefault="006539CB" w:rsidP="006539CB">
      <w:pPr>
        <w:rPr>
          <w:sz w:val="28"/>
          <w:szCs w:val="28"/>
        </w:rPr>
      </w:pPr>
      <w:r>
        <w:rPr>
          <w:noProof/>
          <w:sz w:val="28"/>
          <w:szCs w:val="28"/>
          <w:lang w:eastAsia="zh-CN"/>
        </w:rPr>
        <w:drawing>
          <wp:inline distT="0" distB="0" distL="0" distR="0" wp14:anchorId="480756B7" wp14:editId="5C968538">
            <wp:extent cx="1733550" cy="676507"/>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762" cy="681663"/>
                    </a:xfrm>
                    <a:prstGeom prst="rect">
                      <a:avLst/>
                    </a:prstGeom>
                    <a:noFill/>
                    <a:ln>
                      <a:noFill/>
                    </a:ln>
                  </pic:spPr>
                </pic:pic>
              </a:graphicData>
            </a:graphic>
          </wp:inline>
        </w:drawing>
      </w:r>
      <w:r>
        <w:rPr>
          <w:sz w:val="28"/>
          <w:szCs w:val="28"/>
        </w:rPr>
        <w:tab/>
      </w:r>
      <w:r>
        <w:rPr>
          <w:sz w:val="28"/>
          <w:szCs w:val="28"/>
        </w:rPr>
        <w:tab/>
      </w:r>
      <w:r>
        <w:rPr>
          <w:noProof/>
          <w:lang w:eastAsia="zh-CN"/>
        </w:rPr>
        <w:drawing>
          <wp:inline distT="0" distB="0" distL="0" distR="0" wp14:anchorId="15818DE9" wp14:editId="262DF1F2">
            <wp:extent cx="2055656" cy="73342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6300" cy="733655"/>
                    </a:xfrm>
                    <a:prstGeom prst="rect">
                      <a:avLst/>
                    </a:prstGeom>
                    <a:noFill/>
                    <a:ln>
                      <a:noFill/>
                    </a:ln>
                  </pic:spPr>
                </pic:pic>
              </a:graphicData>
            </a:graphic>
          </wp:inline>
        </w:drawing>
      </w:r>
      <w:r>
        <w:rPr>
          <w:sz w:val="28"/>
          <w:szCs w:val="28"/>
        </w:rPr>
        <w:tab/>
      </w:r>
      <w:r>
        <w:rPr>
          <w:sz w:val="28"/>
          <w:szCs w:val="28"/>
        </w:rPr>
        <w:tab/>
      </w:r>
      <w:r>
        <w:rPr>
          <w:noProof/>
          <w:lang w:eastAsia="zh-CN"/>
        </w:rPr>
        <w:drawing>
          <wp:inline distT="0" distB="0" distL="0" distR="0" wp14:anchorId="4BA7A3A2" wp14:editId="793D6C11">
            <wp:extent cx="1438275" cy="7143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8275" cy="714375"/>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10772"/>
      </w:tblGrid>
      <w:tr w:rsidR="00CC6D1A" w:rsidRPr="00293B7F" w:rsidTr="00CC6D1A">
        <w:trPr>
          <w:jc w:val="center"/>
        </w:trPr>
        <w:tc>
          <w:tcPr>
            <w:tcW w:w="5000" w:type="pct"/>
            <w:vAlign w:val="center"/>
            <w:hideMark/>
          </w:tcPr>
          <w:tbl>
            <w:tblPr>
              <w:tblW w:w="5000" w:type="pct"/>
              <w:tblCellMar>
                <w:left w:w="0" w:type="dxa"/>
                <w:right w:w="0" w:type="dxa"/>
              </w:tblCellMar>
              <w:tblLook w:val="04A0" w:firstRow="1" w:lastRow="0" w:firstColumn="1" w:lastColumn="0" w:noHBand="0" w:noVBand="1"/>
            </w:tblPr>
            <w:tblGrid>
              <w:gridCol w:w="10772"/>
            </w:tblGrid>
            <w:tr w:rsidR="00CC6D1A" w:rsidRPr="00293B7F">
              <w:tc>
                <w:tcPr>
                  <w:tcW w:w="5000" w:type="pct"/>
                  <w:vAlign w:val="center"/>
                  <w:hideMark/>
                </w:tcPr>
                <w:p w:rsidR="00CC6D1A" w:rsidRPr="00293B7F" w:rsidRDefault="00CC6D1A" w:rsidP="005A46EE">
                  <w:pPr>
                    <w:pStyle w:val="Heading1"/>
                    <w:spacing w:before="0" w:beforeAutospacing="0"/>
                    <w:rPr>
                      <w:rFonts w:eastAsia="Times New Roman"/>
                    </w:rPr>
                  </w:pPr>
                  <w:r>
                    <w:t xml:space="preserve">Estate Planning in 2021: Current Legal and Tax </w:t>
                  </w:r>
                  <w:r w:rsidR="007F36CF">
                    <w:t>Aspects</w:t>
                  </w:r>
                  <w:r>
                    <w:br/>
                    <w:t xml:space="preserve">Conference at </w:t>
                  </w:r>
                  <w:r w:rsidR="007F36CF">
                    <w:t xml:space="preserve">the </w:t>
                  </w:r>
                  <w:r>
                    <w:t>Marriott Gran</w:t>
                  </w:r>
                  <w:r w:rsidR="005A46EE">
                    <w:t>d</w:t>
                  </w:r>
                </w:p>
              </w:tc>
            </w:tr>
          </w:tbl>
          <w:p w:rsidR="00CC6D1A" w:rsidRPr="00293B7F" w:rsidRDefault="00CC6D1A">
            <w:pPr>
              <w:rPr>
                <w:rFonts w:eastAsia="Times New Roman"/>
                <w:sz w:val="20"/>
                <w:szCs w:val="20"/>
              </w:rPr>
            </w:pPr>
          </w:p>
        </w:tc>
      </w:tr>
      <w:tr w:rsidR="00CC6D1A" w:rsidRPr="00293B7F" w:rsidTr="00CC6D1A">
        <w:trPr>
          <w:jc w:val="center"/>
        </w:trPr>
        <w:tc>
          <w:tcPr>
            <w:tcW w:w="5000" w:type="pct"/>
            <w:vAlign w:val="center"/>
            <w:hideMark/>
          </w:tcPr>
          <w:tbl>
            <w:tblPr>
              <w:tblW w:w="5000" w:type="pct"/>
              <w:tblCellMar>
                <w:left w:w="0" w:type="dxa"/>
                <w:right w:w="0" w:type="dxa"/>
              </w:tblCellMar>
              <w:tblLook w:val="04A0" w:firstRow="1" w:lastRow="0" w:firstColumn="1" w:lastColumn="0" w:noHBand="0" w:noVBand="1"/>
            </w:tblPr>
            <w:tblGrid>
              <w:gridCol w:w="10772"/>
            </w:tblGrid>
            <w:tr w:rsidR="00CC6D1A" w:rsidRPr="00293B7F" w:rsidTr="00AC31A2">
              <w:trPr>
                <w:trHeight w:val="9403"/>
              </w:trPr>
              <w:tc>
                <w:tcPr>
                  <w:tcW w:w="5000" w:type="pct"/>
                  <w:vAlign w:val="center"/>
                </w:tcPr>
                <w:p w:rsidR="00CC6D1A" w:rsidRPr="00293B7F" w:rsidRDefault="00CC6D1A">
                  <w:pPr>
                    <w:pStyle w:val="NormalWeb"/>
                    <w:spacing w:before="0" w:beforeAutospacing="0" w:after="150" w:afterAutospacing="0" w:line="240" w:lineRule="atLeast"/>
                    <w:rPr>
                      <w:rFonts w:ascii="Tahoma" w:hAnsi="Tahoma" w:cs="Tahoma"/>
                      <w:sz w:val="20"/>
                      <w:szCs w:val="20"/>
                    </w:rPr>
                  </w:pPr>
                  <w:r>
                    <w:rPr>
                      <w:rFonts w:ascii="Tahoma" w:hAnsi="Tahoma"/>
                      <w:sz w:val="20"/>
                      <w:szCs w:val="20"/>
                    </w:rPr>
                    <w:t xml:space="preserve">Bryan Cave Leighton Paisner (formerly Goltsblat BLP in Russia) and </w:t>
                  </w:r>
                  <w:proofErr w:type="spellStart"/>
                  <w:r>
                    <w:rPr>
                      <w:rFonts w:ascii="Tahoma" w:hAnsi="Tahoma"/>
                      <w:sz w:val="20"/>
                      <w:szCs w:val="20"/>
                    </w:rPr>
                    <w:t>Globaleye</w:t>
                  </w:r>
                  <w:proofErr w:type="spellEnd"/>
                  <w:r>
                    <w:rPr>
                      <w:rFonts w:ascii="Tahoma" w:hAnsi="Tahoma"/>
                      <w:sz w:val="20"/>
                      <w:szCs w:val="20"/>
                    </w:rPr>
                    <w:t xml:space="preserve"> invite you to their conference on Estate Planning in 2021: Current Legal and Tax </w:t>
                  </w:r>
                  <w:r w:rsidR="007F36CF">
                    <w:rPr>
                      <w:rFonts w:ascii="Tahoma" w:hAnsi="Tahoma"/>
                      <w:sz w:val="20"/>
                      <w:szCs w:val="20"/>
                    </w:rPr>
                    <w:t>Aspects</w:t>
                  </w:r>
                  <w:r w:rsidR="002C1449">
                    <w:rPr>
                      <w:rFonts w:ascii="Tahoma" w:hAnsi="Tahoma"/>
                      <w:sz w:val="20"/>
                      <w:szCs w:val="20"/>
                    </w:rPr>
                    <w:t>.</w:t>
                  </w:r>
                </w:p>
                <w:p w:rsidR="00CC6D1A" w:rsidRPr="00293B7F" w:rsidRDefault="00AC31A2">
                  <w:pPr>
                    <w:pStyle w:val="PlainText"/>
                  </w:pPr>
                  <w:r>
                    <w:t xml:space="preserve">The conference </w:t>
                  </w:r>
                  <w:r w:rsidR="007F36CF">
                    <w:t xml:space="preserve">is to </w:t>
                  </w:r>
                  <w:r>
                    <w:t xml:space="preserve">be held </w:t>
                  </w:r>
                  <w:r w:rsidR="00CC6D1A">
                    <w:t xml:space="preserve">on Thursday, 15 July 2021 </w:t>
                  </w:r>
                  <w:r w:rsidR="007F36CF">
                    <w:t xml:space="preserve">at the </w:t>
                  </w:r>
                  <w:r w:rsidR="00CC6D1A">
                    <w:t xml:space="preserve">Marriott Grand (26/1 </w:t>
                  </w:r>
                  <w:proofErr w:type="spellStart"/>
                  <w:r w:rsidR="00CC6D1A">
                    <w:t>Tverskaya</w:t>
                  </w:r>
                  <w:proofErr w:type="spellEnd"/>
                  <w:r w:rsidR="00CC6D1A">
                    <w:t xml:space="preserve"> St.). After registration and welcome coffee at 9:30, the event will open at</w:t>
                  </w:r>
                  <w:r w:rsidR="007F36CF">
                    <w:t xml:space="preserve"> </w:t>
                  </w:r>
                  <w:r w:rsidR="00CC6D1A">
                    <w:t xml:space="preserve">10.00. Participation is free. The conference will be held in Russian. </w:t>
                  </w:r>
                </w:p>
                <w:p w:rsidR="00AC31A2" w:rsidRDefault="00AC31A2">
                  <w:pPr>
                    <w:pStyle w:val="NormalWeb"/>
                    <w:spacing w:before="0" w:beforeAutospacing="0" w:after="150" w:afterAutospacing="0" w:line="240" w:lineRule="atLeast"/>
                    <w:rPr>
                      <w:rFonts w:ascii="Tahoma" w:hAnsi="Tahoma"/>
                      <w:sz w:val="20"/>
                      <w:szCs w:val="20"/>
                    </w:rPr>
                  </w:pPr>
                  <w:bookmarkStart w:id="0" w:name="_GoBack"/>
                  <w:bookmarkEnd w:id="0"/>
                </w:p>
                <w:p w:rsidR="00CC6D1A" w:rsidRPr="00293B7F" w:rsidRDefault="00CC6D1A">
                  <w:pPr>
                    <w:pStyle w:val="NormalWeb"/>
                    <w:spacing w:before="0" w:beforeAutospacing="0" w:after="150" w:afterAutospacing="0" w:line="240" w:lineRule="atLeast"/>
                    <w:rPr>
                      <w:rFonts w:ascii="Tahoma" w:hAnsi="Tahoma" w:cs="Tahoma"/>
                      <w:sz w:val="20"/>
                      <w:szCs w:val="20"/>
                    </w:rPr>
                  </w:pPr>
                  <w:r>
                    <w:rPr>
                      <w:rFonts w:ascii="Tahoma" w:hAnsi="Tahoma"/>
                      <w:sz w:val="20"/>
                      <w:szCs w:val="20"/>
                    </w:rPr>
                    <w:t>Aspects of asset structuring for estate purposes are gaining urgency in Russia triggered by the changing legal environment and global developments (the pandemic) imperilling people’s lives no matter what their status. Meanwhile,</w:t>
                  </w:r>
                  <w:r w:rsidR="007F36CF">
                    <w:rPr>
                      <w:rFonts w:ascii="Tahoma" w:hAnsi="Tahoma"/>
                      <w:sz w:val="20"/>
                      <w:szCs w:val="20"/>
                    </w:rPr>
                    <w:t xml:space="preserve"> the</w:t>
                  </w:r>
                  <w:r>
                    <w:rPr>
                      <w:rFonts w:ascii="Tahoma" w:hAnsi="Tahoma"/>
                      <w:sz w:val="20"/>
                      <w:szCs w:val="20"/>
                    </w:rPr>
                    <w:t xml:space="preserve"> Russian inheritance law reform is gaining momentum. We are now seeing available instruments gradually </w:t>
                  </w:r>
                  <w:r w:rsidR="007F36CF">
                    <w:rPr>
                      <w:rFonts w:ascii="Tahoma" w:hAnsi="Tahoma"/>
                      <w:sz w:val="20"/>
                      <w:szCs w:val="20"/>
                    </w:rPr>
                    <w:t xml:space="preserve">being </w:t>
                  </w:r>
                  <w:r>
                    <w:rPr>
                      <w:rFonts w:ascii="Tahoma" w:hAnsi="Tahoma"/>
                      <w:sz w:val="20"/>
                      <w:szCs w:val="20"/>
                    </w:rPr>
                    <w:t xml:space="preserve">put into practice and new approaches evolving. All the new aspects must be factored into current estate planning and into </w:t>
                  </w:r>
                  <w:r w:rsidR="007F36CF">
                    <w:rPr>
                      <w:rFonts w:ascii="Tahoma" w:hAnsi="Tahoma"/>
                      <w:sz w:val="20"/>
                      <w:szCs w:val="20"/>
                    </w:rPr>
                    <w:t xml:space="preserve">updates to </w:t>
                  </w:r>
                  <w:r>
                    <w:rPr>
                      <w:rFonts w:ascii="Tahoma" w:hAnsi="Tahoma"/>
                      <w:sz w:val="20"/>
                      <w:szCs w:val="20"/>
                    </w:rPr>
                    <w:t>any previously formulated plans.</w:t>
                  </w:r>
                </w:p>
                <w:p w:rsidR="00CC6D1A" w:rsidRPr="00293B7F" w:rsidRDefault="00CC6D1A">
                  <w:pPr>
                    <w:pStyle w:val="NormalWeb"/>
                    <w:spacing w:before="0" w:beforeAutospacing="0" w:after="150" w:afterAutospacing="0" w:line="240" w:lineRule="atLeast"/>
                    <w:rPr>
                      <w:rFonts w:ascii="Tahoma" w:hAnsi="Tahoma" w:cs="Tahoma"/>
                      <w:sz w:val="20"/>
                      <w:szCs w:val="20"/>
                    </w:rPr>
                  </w:pPr>
                  <w:r>
                    <w:rPr>
                      <w:rStyle w:val="Strong"/>
                      <w:rFonts w:ascii="Tahoma" w:hAnsi="Tahoma"/>
                      <w:sz w:val="20"/>
                      <w:szCs w:val="20"/>
                    </w:rPr>
                    <w:t>Topics to be covered:</w:t>
                  </w:r>
                </w:p>
                <w:p w:rsidR="00CC6D1A" w:rsidRPr="00293B7F" w:rsidRDefault="00CC6D1A">
                  <w:pPr>
                    <w:pStyle w:val="NormalWeb"/>
                    <w:numPr>
                      <w:ilvl w:val="0"/>
                      <w:numId w:val="1"/>
                    </w:numPr>
                    <w:spacing w:before="0" w:beforeAutospacing="0" w:after="150" w:afterAutospacing="0" w:line="240" w:lineRule="atLeast"/>
                    <w:ind w:left="375"/>
                    <w:rPr>
                      <w:rFonts w:ascii="Tahoma" w:hAnsi="Tahoma" w:cs="Tahoma"/>
                      <w:sz w:val="20"/>
                      <w:szCs w:val="20"/>
                    </w:rPr>
                  </w:pPr>
                  <w:r>
                    <w:rPr>
                      <w:rFonts w:ascii="Tahoma" w:hAnsi="Tahoma"/>
                      <w:sz w:val="20"/>
                      <w:szCs w:val="20"/>
                    </w:rPr>
                    <w:t>Russian succession instruments and their application</w:t>
                  </w:r>
                </w:p>
                <w:p w:rsidR="00CC6D1A" w:rsidRPr="00293B7F" w:rsidRDefault="00CC6D1A" w:rsidP="00295ADA">
                  <w:pPr>
                    <w:pStyle w:val="NormalWeb"/>
                    <w:numPr>
                      <w:ilvl w:val="0"/>
                      <w:numId w:val="1"/>
                    </w:numPr>
                    <w:spacing w:before="0" w:beforeAutospacing="0" w:after="150" w:afterAutospacing="0" w:line="240" w:lineRule="atLeast"/>
                    <w:ind w:left="375"/>
                    <w:rPr>
                      <w:rFonts w:ascii="Tahoma" w:hAnsi="Tahoma" w:cs="Tahoma"/>
                      <w:sz w:val="20"/>
                      <w:szCs w:val="20"/>
                    </w:rPr>
                  </w:pPr>
                  <w:r>
                    <w:rPr>
                      <w:rFonts w:ascii="Tahoma" w:hAnsi="Tahoma"/>
                      <w:sz w:val="20"/>
                      <w:szCs w:val="20"/>
                    </w:rPr>
                    <w:t>PPLI. International estate planning practices</w:t>
                  </w:r>
                </w:p>
                <w:p w:rsidR="00CC6D1A" w:rsidRPr="00293B7F" w:rsidRDefault="00CC6D1A" w:rsidP="00295ADA">
                  <w:pPr>
                    <w:pStyle w:val="NormalWeb"/>
                    <w:numPr>
                      <w:ilvl w:val="0"/>
                      <w:numId w:val="1"/>
                    </w:numPr>
                    <w:spacing w:before="0" w:beforeAutospacing="0" w:after="150" w:afterAutospacing="0" w:line="240" w:lineRule="atLeast"/>
                    <w:ind w:left="375"/>
                    <w:rPr>
                      <w:rFonts w:ascii="Tahoma" w:hAnsi="Tahoma" w:cs="Tahoma"/>
                      <w:sz w:val="20"/>
                      <w:szCs w:val="20"/>
                    </w:rPr>
                  </w:pPr>
                  <w:r>
                    <w:rPr>
                      <w:rFonts w:ascii="Tahoma" w:hAnsi="Tahoma"/>
                      <w:sz w:val="20"/>
                      <w:szCs w:val="20"/>
                    </w:rPr>
                    <w:t>Tax implications of the most popular estate planning instruments</w:t>
                  </w:r>
                </w:p>
                <w:p w:rsidR="00CC6D1A" w:rsidRPr="00293B7F" w:rsidRDefault="00CC6D1A" w:rsidP="00295ADA">
                  <w:pPr>
                    <w:pStyle w:val="NormalWeb"/>
                    <w:numPr>
                      <w:ilvl w:val="0"/>
                      <w:numId w:val="1"/>
                    </w:numPr>
                    <w:spacing w:before="0" w:beforeAutospacing="0" w:after="150" w:afterAutospacing="0" w:line="240" w:lineRule="atLeast"/>
                    <w:ind w:left="375"/>
                    <w:rPr>
                      <w:rFonts w:ascii="Tahoma" w:hAnsi="Tahoma" w:cs="Tahoma"/>
                      <w:sz w:val="20"/>
                      <w:szCs w:val="20"/>
                    </w:rPr>
                  </w:pPr>
                  <w:r>
                    <w:rPr>
                      <w:rFonts w:ascii="Tahoma" w:hAnsi="Tahoma"/>
                      <w:sz w:val="20"/>
                      <w:szCs w:val="20"/>
                    </w:rPr>
                    <w:t>The anatomy of trust: How foreign structures safeguard H</w:t>
                  </w:r>
                  <w:r w:rsidR="007F36CF">
                    <w:rPr>
                      <w:rFonts w:ascii="Tahoma" w:hAnsi="Tahoma"/>
                      <w:sz w:val="20"/>
                      <w:szCs w:val="20"/>
                    </w:rPr>
                    <w:t>N</w:t>
                  </w:r>
                  <w:r>
                    <w:rPr>
                      <w:rFonts w:ascii="Tahoma" w:hAnsi="Tahoma"/>
                      <w:sz w:val="20"/>
                      <w:szCs w:val="20"/>
                    </w:rPr>
                    <w:t>W individuals against inheritance risks</w:t>
                  </w:r>
                </w:p>
                <w:p w:rsidR="00CC6D1A" w:rsidRPr="00293B7F" w:rsidRDefault="00CC6D1A">
                  <w:pPr>
                    <w:pStyle w:val="NormalWeb"/>
                    <w:numPr>
                      <w:ilvl w:val="0"/>
                      <w:numId w:val="1"/>
                    </w:numPr>
                    <w:spacing w:before="0" w:beforeAutospacing="0" w:after="150" w:afterAutospacing="0" w:line="240" w:lineRule="atLeast"/>
                    <w:ind w:left="375"/>
                    <w:rPr>
                      <w:rFonts w:ascii="Tahoma" w:hAnsi="Tahoma" w:cs="Tahoma"/>
                      <w:sz w:val="20"/>
                      <w:szCs w:val="20"/>
                    </w:rPr>
                  </w:pPr>
                  <w:r>
                    <w:rPr>
                      <w:rFonts w:ascii="Tahoma" w:hAnsi="Tahoma"/>
                      <w:sz w:val="20"/>
                      <w:szCs w:val="20"/>
                    </w:rPr>
                    <w:t xml:space="preserve">Closed-end UIF as an instrument </w:t>
                  </w:r>
                  <w:r w:rsidR="007F36CF">
                    <w:rPr>
                      <w:rFonts w:ascii="Tahoma" w:hAnsi="Tahoma"/>
                      <w:sz w:val="20"/>
                      <w:szCs w:val="20"/>
                    </w:rPr>
                    <w:t xml:space="preserve">providing for </w:t>
                  </w:r>
                  <w:r>
                    <w:rPr>
                      <w:rFonts w:ascii="Tahoma" w:hAnsi="Tahoma"/>
                      <w:sz w:val="20"/>
                      <w:szCs w:val="20"/>
                    </w:rPr>
                    <w:t>inheritance of Russian assets</w:t>
                  </w:r>
                </w:p>
                <w:p w:rsidR="00CC6D1A" w:rsidRPr="00293B7F" w:rsidRDefault="00CC6D1A" w:rsidP="00295ADA">
                  <w:pPr>
                    <w:pStyle w:val="NormalWeb"/>
                    <w:numPr>
                      <w:ilvl w:val="0"/>
                      <w:numId w:val="1"/>
                    </w:numPr>
                    <w:spacing w:before="0" w:beforeAutospacing="0" w:after="150" w:afterAutospacing="0" w:line="240" w:lineRule="atLeast"/>
                    <w:ind w:left="375"/>
                    <w:rPr>
                      <w:rFonts w:ascii="Tahoma" w:hAnsi="Tahoma" w:cs="Tahoma"/>
                      <w:sz w:val="20"/>
                      <w:szCs w:val="20"/>
                    </w:rPr>
                  </w:pPr>
                  <w:r>
                    <w:rPr>
                      <w:rFonts w:ascii="Tahoma" w:hAnsi="Tahoma"/>
                      <w:sz w:val="20"/>
                      <w:szCs w:val="20"/>
                    </w:rPr>
                    <w:t>A collection as the basis for one’s personal tradition. Handing down you</w:t>
                  </w:r>
                  <w:r w:rsidR="007F36CF">
                    <w:rPr>
                      <w:rFonts w:ascii="Tahoma" w:hAnsi="Tahoma"/>
                      <w:sz w:val="20"/>
                      <w:szCs w:val="20"/>
                    </w:rPr>
                    <w:t>r</w:t>
                  </w:r>
                  <w:r>
                    <w:rPr>
                      <w:rFonts w:ascii="Tahoma" w:hAnsi="Tahoma"/>
                      <w:sz w:val="20"/>
                      <w:szCs w:val="20"/>
                    </w:rPr>
                    <w:t xml:space="preserve"> inimitable style</w:t>
                  </w:r>
                </w:p>
                <w:p w:rsidR="00CC6D1A" w:rsidRPr="00293B7F" w:rsidRDefault="00CC6D1A">
                  <w:pPr>
                    <w:pStyle w:val="NormalWeb"/>
                    <w:spacing w:before="0" w:beforeAutospacing="0" w:after="150" w:afterAutospacing="0" w:line="240" w:lineRule="atLeast"/>
                    <w:rPr>
                      <w:rFonts w:ascii="Tahoma" w:hAnsi="Tahoma" w:cs="Tahoma"/>
                      <w:sz w:val="20"/>
                      <w:szCs w:val="20"/>
                    </w:rPr>
                  </w:pPr>
                  <w:r>
                    <w:rPr>
                      <w:rFonts w:ascii="Tahoma" w:hAnsi="Tahoma"/>
                      <w:sz w:val="20"/>
                      <w:szCs w:val="20"/>
                    </w:rPr>
                    <w:t> </w:t>
                  </w:r>
                  <w:r>
                    <w:rPr>
                      <w:rStyle w:val="Strong"/>
                      <w:rFonts w:ascii="Tahoma" w:hAnsi="Tahoma"/>
                      <w:sz w:val="20"/>
                      <w:szCs w:val="20"/>
                    </w:rPr>
                    <w:t>Our speakers:</w:t>
                  </w:r>
                </w:p>
                <w:p w:rsidR="00CC6D1A" w:rsidRPr="00293B7F" w:rsidRDefault="00CC6D1A" w:rsidP="00295ADA">
                  <w:pPr>
                    <w:pStyle w:val="NormalWeb"/>
                    <w:numPr>
                      <w:ilvl w:val="0"/>
                      <w:numId w:val="2"/>
                    </w:numPr>
                    <w:spacing w:before="0" w:beforeAutospacing="0" w:after="150" w:afterAutospacing="0" w:line="240" w:lineRule="atLeast"/>
                    <w:ind w:left="375"/>
                    <w:rPr>
                      <w:rFonts w:ascii="Tahoma" w:hAnsi="Tahoma" w:cs="Tahoma"/>
                      <w:sz w:val="20"/>
                      <w:szCs w:val="20"/>
                    </w:rPr>
                  </w:pPr>
                  <w:r>
                    <w:rPr>
                      <w:rFonts w:ascii="Tahoma" w:hAnsi="Tahoma"/>
                      <w:sz w:val="20"/>
                      <w:szCs w:val="20"/>
                    </w:rPr>
                    <w:t xml:space="preserve">Gleb Timoshenko, Partner, Business Development Director for Russia and CIS, </w:t>
                  </w:r>
                  <w:proofErr w:type="spellStart"/>
                  <w:r>
                    <w:rPr>
                      <w:rFonts w:ascii="Tahoma" w:hAnsi="Tahoma"/>
                      <w:sz w:val="20"/>
                      <w:szCs w:val="20"/>
                    </w:rPr>
                    <w:t>GlobalEye</w:t>
                  </w:r>
                  <w:proofErr w:type="spellEnd"/>
                  <w:r>
                    <w:rPr>
                      <w:rFonts w:ascii="Tahoma" w:hAnsi="Tahoma"/>
                      <w:sz w:val="20"/>
                      <w:szCs w:val="20"/>
                    </w:rPr>
                    <w:t xml:space="preserve"> (Dubai)</w:t>
                  </w:r>
                </w:p>
                <w:p w:rsidR="00CC6D1A" w:rsidRPr="00293B7F" w:rsidRDefault="00CC6D1A" w:rsidP="00295ADA">
                  <w:pPr>
                    <w:pStyle w:val="NormalWeb"/>
                    <w:numPr>
                      <w:ilvl w:val="0"/>
                      <w:numId w:val="2"/>
                    </w:numPr>
                    <w:spacing w:before="0" w:beforeAutospacing="0" w:after="150" w:afterAutospacing="0" w:line="240" w:lineRule="atLeast"/>
                    <w:ind w:left="375"/>
                    <w:rPr>
                      <w:rFonts w:ascii="Tahoma" w:hAnsi="Tahoma" w:cs="Tahoma"/>
                      <w:sz w:val="20"/>
                      <w:szCs w:val="20"/>
                    </w:rPr>
                  </w:pPr>
                  <w:r>
                    <w:rPr>
                      <w:rFonts w:ascii="Tahoma" w:hAnsi="Tahoma"/>
                      <w:sz w:val="20"/>
                      <w:szCs w:val="20"/>
                    </w:rPr>
                    <w:t>Nadezhda Ilyushina, Advocate, Head of Family and Inheritance, Employment, Pensions &amp; Benefits, Bryan Cave Leighton Paisner (Russia)</w:t>
                  </w:r>
                </w:p>
                <w:p w:rsidR="00CC6D1A" w:rsidRPr="00293B7F" w:rsidRDefault="00CC6D1A" w:rsidP="00295ADA">
                  <w:pPr>
                    <w:pStyle w:val="NormalWeb"/>
                    <w:numPr>
                      <w:ilvl w:val="0"/>
                      <w:numId w:val="2"/>
                    </w:numPr>
                    <w:spacing w:before="0" w:beforeAutospacing="0" w:after="150" w:afterAutospacing="0" w:line="240" w:lineRule="atLeast"/>
                    <w:ind w:left="375"/>
                    <w:rPr>
                      <w:rFonts w:ascii="Tahoma" w:hAnsi="Tahoma" w:cs="Tahoma"/>
                      <w:sz w:val="20"/>
                      <w:szCs w:val="20"/>
                    </w:rPr>
                  </w:pPr>
                  <w:r>
                    <w:rPr>
                      <w:rFonts w:ascii="Tahoma" w:hAnsi="Tahoma"/>
                      <w:sz w:val="20"/>
                      <w:szCs w:val="20"/>
                    </w:rPr>
                    <w:t>Dmitry Paramonov, Advocate, Senior Associate, Tax, Cross-border Tax Advice, Private Client, Bryan Cave Leighton Paisner (Russia) LLP</w:t>
                  </w:r>
                </w:p>
                <w:p w:rsidR="00CC6D1A" w:rsidRPr="00293B7F" w:rsidRDefault="00CC6D1A" w:rsidP="00295ADA">
                  <w:pPr>
                    <w:pStyle w:val="NormalWeb"/>
                    <w:numPr>
                      <w:ilvl w:val="0"/>
                      <w:numId w:val="2"/>
                    </w:numPr>
                    <w:spacing w:before="0" w:beforeAutospacing="0" w:after="150" w:afterAutospacing="0" w:line="240" w:lineRule="atLeast"/>
                    <w:ind w:left="375"/>
                    <w:rPr>
                      <w:rFonts w:ascii="Tahoma" w:hAnsi="Tahoma" w:cs="Tahoma"/>
                      <w:sz w:val="20"/>
                      <w:szCs w:val="20"/>
                    </w:rPr>
                  </w:pPr>
                  <w:r>
                    <w:rPr>
                      <w:rFonts w:ascii="Tahoma" w:hAnsi="Tahoma"/>
                      <w:sz w:val="20"/>
                      <w:szCs w:val="20"/>
                    </w:rPr>
                    <w:t xml:space="preserve">Maxim </w:t>
                  </w:r>
                  <w:proofErr w:type="spellStart"/>
                  <w:r>
                    <w:rPr>
                      <w:rFonts w:ascii="Tahoma" w:hAnsi="Tahoma"/>
                      <w:sz w:val="20"/>
                      <w:szCs w:val="20"/>
                    </w:rPr>
                    <w:t>Klyuchnikov</w:t>
                  </w:r>
                  <w:proofErr w:type="spellEnd"/>
                  <w:r>
                    <w:rPr>
                      <w:rFonts w:ascii="Tahoma" w:hAnsi="Tahoma"/>
                      <w:sz w:val="20"/>
                      <w:szCs w:val="20"/>
                    </w:rPr>
                    <w:t>, Partner, ALTHAUS Private Tax</w:t>
                  </w:r>
                </w:p>
                <w:p w:rsidR="00CC6D1A" w:rsidRPr="00293B7F" w:rsidRDefault="00CC6D1A" w:rsidP="00295ADA">
                  <w:pPr>
                    <w:pStyle w:val="NormalWeb"/>
                    <w:numPr>
                      <w:ilvl w:val="0"/>
                      <w:numId w:val="2"/>
                    </w:numPr>
                    <w:spacing w:before="0" w:beforeAutospacing="0" w:after="150" w:afterAutospacing="0" w:line="240" w:lineRule="atLeast"/>
                    <w:ind w:left="375"/>
                    <w:rPr>
                      <w:rFonts w:ascii="Tahoma" w:hAnsi="Tahoma" w:cs="Tahoma"/>
                      <w:sz w:val="20"/>
                      <w:szCs w:val="20"/>
                    </w:rPr>
                  </w:pPr>
                  <w:r>
                    <w:rPr>
                      <w:rFonts w:ascii="Tahoma" w:hAnsi="Tahoma"/>
                      <w:sz w:val="20"/>
                      <w:szCs w:val="20"/>
                    </w:rPr>
                    <w:t>Stanislav Brodsky, Managing Director, Veles Management Asset Management Company</w:t>
                  </w:r>
                </w:p>
                <w:p w:rsidR="00CC6D1A" w:rsidRPr="00293B7F" w:rsidRDefault="00CC6D1A" w:rsidP="00295ADA">
                  <w:pPr>
                    <w:pStyle w:val="NormalWeb"/>
                    <w:numPr>
                      <w:ilvl w:val="0"/>
                      <w:numId w:val="2"/>
                    </w:numPr>
                    <w:spacing w:before="0" w:beforeAutospacing="0" w:after="150" w:afterAutospacing="0" w:line="240" w:lineRule="atLeast"/>
                    <w:ind w:left="375"/>
                    <w:rPr>
                      <w:rFonts w:ascii="Tahoma" w:hAnsi="Tahoma" w:cs="Tahoma"/>
                      <w:sz w:val="20"/>
                      <w:szCs w:val="20"/>
                    </w:rPr>
                  </w:pPr>
                  <w:r>
                    <w:rPr>
                      <w:rFonts w:ascii="Tahoma" w:hAnsi="Tahoma"/>
                      <w:sz w:val="20"/>
                      <w:szCs w:val="20"/>
                    </w:rPr>
                    <w:t xml:space="preserve">Egor Altman, Collector, Art Dealer, Founder of </w:t>
                  </w:r>
                  <w:proofErr w:type="spellStart"/>
                  <w:r>
                    <w:rPr>
                      <w:rFonts w:ascii="Tahoma" w:hAnsi="Tahoma"/>
                      <w:sz w:val="20"/>
                      <w:szCs w:val="20"/>
                    </w:rPr>
                    <w:t>Altmans</w:t>
                  </w:r>
                  <w:proofErr w:type="spellEnd"/>
                  <w:r>
                    <w:rPr>
                      <w:rFonts w:ascii="Tahoma" w:hAnsi="Tahoma"/>
                      <w:sz w:val="20"/>
                      <w:szCs w:val="20"/>
                    </w:rPr>
                    <w:t xml:space="preserve"> Gallery, a brand of international galleries</w:t>
                  </w:r>
                </w:p>
                <w:p w:rsidR="00CC6D1A" w:rsidRPr="00293B7F" w:rsidRDefault="00CC6D1A" w:rsidP="00CC6D1A">
                  <w:pPr>
                    <w:pStyle w:val="NormalWeb"/>
                    <w:spacing w:before="0" w:beforeAutospacing="0" w:after="150" w:afterAutospacing="0" w:line="240" w:lineRule="atLeast"/>
                    <w:rPr>
                      <w:rFonts w:eastAsia="Times New Roman"/>
                    </w:rPr>
                  </w:pPr>
                  <w:r>
                    <w:rPr>
                      <w:rStyle w:val="Strong"/>
                      <w:rFonts w:ascii="Tahoma" w:hAnsi="Tahoma"/>
                      <w:sz w:val="20"/>
                      <w:szCs w:val="20"/>
                    </w:rPr>
                    <w:t>Registration</w:t>
                  </w:r>
                  <w:r>
                    <w:rPr>
                      <w:rFonts w:ascii="Tahoma" w:hAnsi="Tahoma"/>
                      <w:sz w:val="20"/>
                      <w:szCs w:val="20"/>
                    </w:rPr>
                    <w:t xml:space="preserve">: by telephone: +7 (977) 995-73-95 or e-mail: </w:t>
                  </w:r>
                  <w:hyperlink r:id="rId14" w:history="1">
                    <w:r>
                      <w:rPr>
                        <w:rStyle w:val="Hyperlink"/>
                        <w:rFonts w:ascii="Tahoma" w:hAnsi="Tahoma"/>
                        <w:color w:val="auto"/>
                        <w:sz w:val="20"/>
                        <w:szCs w:val="20"/>
                      </w:rPr>
                      <w:t>ge@ge-rus.com</w:t>
                    </w:r>
                  </w:hyperlink>
                  <w:r>
                    <w:rPr>
                      <w:rFonts w:ascii="Tahoma" w:hAnsi="Tahoma"/>
                      <w:sz w:val="20"/>
                      <w:szCs w:val="20"/>
                    </w:rPr>
                    <w:t xml:space="preserve"> </w:t>
                  </w:r>
                </w:p>
              </w:tc>
            </w:tr>
          </w:tbl>
          <w:p w:rsidR="00CC6D1A" w:rsidRPr="00293B7F" w:rsidRDefault="00CC6D1A">
            <w:pPr>
              <w:rPr>
                <w:rFonts w:eastAsia="Times New Roman"/>
                <w:sz w:val="20"/>
                <w:szCs w:val="20"/>
              </w:rPr>
            </w:pPr>
          </w:p>
        </w:tc>
      </w:tr>
    </w:tbl>
    <w:p w:rsidR="006539CB" w:rsidRPr="00293B7F" w:rsidRDefault="006539CB" w:rsidP="006539CB"/>
    <w:sectPr w:rsidR="006539CB" w:rsidRPr="00293B7F" w:rsidSect="006539CB">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3BE" w:rsidRDefault="00FE23BE" w:rsidP="00CC6D1A">
      <w:pPr>
        <w:spacing w:after="0" w:line="240" w:lineRule="auto"/>
      </w:pPr>
      <w:r>
        <w:separator/>
      </w:r>
    </w:p>
  </w:endnote>
  <w:endnote w:type="continuationSeparator" w:id="0">
    <w:p w:rsidR="00FE23BE" w:rsidRDefault="00FE23BE" w:rsidP="00CC6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ngXian">
    <w:altName w:val="等线"/>
    <w:panose1 w:val="00000000000000000000"/>
    <w:charset w:val="86"/>
    <w:family w:val="roman"/>
    <w:notTrueType/>
    <w:pitch w:val="default"/>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3BE" w:rsidRDefault="00FE23BE" w:rsidP="00CC6D1A">
      <w:pPr>
        <w:spacing w:after="0" w:line="240" w:lineRule="auto"/>
      </w:pPr>
      <w:r>
        <w:separator/>
      </w:r>
    </w:p>
  </w:footnote>
  <w:footnote w:type="continuationSeparator" w:id="0">
    <w:p w:rsidR="00FE23BE" w:rsidRDefault="00FE23BE" w:rsidP="00CC6D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1028C"/>
    <w:multiLevelType w:val="multilevel"/>
    <w:tmpl w:val="BFE2E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3771F73"/>
    <w:multiLevelType w:val="multilevel"/>
    <w:tmpl w:val="7E2AA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9CB"/>
    <w:rsid w:val="00293B7F"/>
    <w:rsid w:val="002C1449"/>
    <w:rsid w:val="003A00A4"/>
    <w:rsid w:val="00510299"/>
    <w:rsid w:val="005A46EE"/>
    <w:rsid w:val="006539CB"/>
    <w:rsid w:val="006C03EB"/>
    <w:rsid w:val="007F36CF"/>
    <w:rsid w:val="00A17467"/>
    <w:rsid w:val="00AC31A2"/>
    <w:rsid w:val="00B30420"/>
    <w:rsid w:val="00CC3F8E"/>
    <w:rsid w:val="00CC6D1A"/>
    <w:rsid w:val="00FE23BE"/>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C6D1A"/>
    <w:pPr>
      <w:spacing w:before="100" w:beforeAutospacing="1" w:after="300" w:line="420" w:lineRule="atLeast"/>
      <w:outlineLvl w:val="0"/>
    </w:pPr>
    <w:rPr>
      <w:rFonts w:ascii="Arial" w:eastAsiaTheme="minorEastAsia" w:hAnsi="Arial" w:cs="Arial"/>
      <w:color w:val="00587C"/>
      <w:kern w:val="36"/>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39CB"/>
    <w:pPr>
      <w:autoSpaceDE w:val="0"/>
      <w:autoSpaceDN w:val="0"/>
      <w:adjustRightInd w:val="0"/>
      <w:spacing w:after="0" w:line="240" w:lineRule="auto"/>
    </w:pPr>
    <w:rPr>
      <w:rFonts w:ascii="Segoe UI" w:hAnsi="Segoe UI" w:cs="Segoe UI"/>
      <w:color w:val="000000"/>
      <w:sz w:val="24"/>
      <w:szCs w:val="24"/>
    </w:rPr>
  </w:style>
  <w:style w:type="paragraph" w:styleId="Header">
    <w:name w:val="header"/>
    <w:basedOn w:val="Normal"/>
    <w:link w:val="HeaderChar"/>
    <w:uiPriority w:val="99"/>
    <w:unhideWhenUsed/>
    <w:rsid w:val="00CC6D1A"/>
    <w:pPr>
      <w:tabs>
        <w:tab w:val="center" w:pos="4677"/>
        <w:tab w:val="right" w:pos="9355"/>
      </w:tabs>
      <w:spacing w:after="0" w:line="240" w:lineRule="auto"/>
    </w:pPr>
  </w:style>
  <w:style w:type="character" w:customStyle="1" w:styleId="HeaderChar">
    <w:name w:val="Header Char"/>
    <w:basedOn w:val="DefaultParagraphFont"/>
    <w:link w:val="Header"/>
    <w:uiPriority w:val="99"/>
    <w:rsid w:val="00CC6D1A"/>
  </w:style>
  <w:style w:type="paragraph" w:styleId="Footer">
    <w:name w:val="footer"/>
    <w:basedOn w:val="Normal"/>
    <w:link w:val="FooterChar"/>
    <w:uiPriority w:val="99"/>
    <w:unhideWhenUsed/>
    <w:rsid w:val="00CC6D1A"/>
    <w:pPr>
      <w:tabs>
        <w:tab w:val="center" w:pos="4677"/>
        <w:tab w:val="right" w:pos="9355"/>
      </w:tabs>
      <w:spacing w:after="0" w:line="240" w:lineRule="auto"/>
    </w:pPr>
  </w:style>
  <w:style w:type="character" w:customStyle="1" w:styleId="FooterChar">
    <w:name w:val="Footer Char"/>
    <w:basedOn w:val="DefaultParagraphFont"/>
    <w:link w:val="Footer"/>
    <w:uiPriority w:val="99"/>
    <w:rsid w:val="00CC6D1A"/>
  </w:style>
  <w:style w:type="character" w:customStyle="1" w:styleId="Heading1Char">
    <w:name w:val="Heading 1 Char"/>
    <w:basedOn w:val="DefaultParagraphFont"/>
    <w:link w:val="Heading1"/>
    <w:uiPriority w:val="9"/>
    <w:rsid w:val="00CC6D1A"/>
    <w:rPr>
      <w:rFonts w:ascii="Arial" w:eastAsiaTheme="minorEastAsia" w:hAnsi="Arial" w:cs="Arial"/>
      <w:color w:val="00587C"/>
      <w:kern w:val="36"/>
      <w:sz w:val="36"/>
      <w:szCs w:val="36"/>
      <w:lang w:val="en-GB" w:eastAsia="zh-CN"/>
    </w:rPr>
  </w:style>
  <w:style w:type="character" w:styleId="Hyperlink">
    <w:name w:val="Hyperlink"/>
    <w:basedOn w:val="DefaultParagraphFont"/>
    <w:uiPriority w:val="99"/>
    <w:semiHidden/>
    <w:unhideWhenUsed/>
    <w:rsid w:val="00CC6D1A"/>
    <w:rPr>
      <w:color w:val="0000FF"/>
      <w:u w:val="single"/>
    </w:rPr>
  </w:style>
  <w:style w:type="paragraph" w:styleId="NormalWeb">
    <w:name w:val="Normal (Web)"/>
    <w:basedOn w:val="Normal"/>
    <w:uiPriority w:val="99"/>
    <w:unhideWhenUsed/>
    <w:rsid w:val="00CC6D1A"/>
    <w:pPr>
      <w:spacing w:before="100" w:beforeAutospacing="1" w:after="100" w:afterAutospacing="1" w:line="240" w:lineRule="auto"/>
    </w:pPr>
    <w:rPr>
      <w:rFonts w:ascii="Times New Roman" w:eastAsiaTheme="minorEastAsia" w:hAnsi="Times New Roman" w:cs="Times New Roman"/>
      <w:sz w:val="24"/>
      <w:szCs w:val="24"/>
      <w:lang w:eastAsia="zh-CN"/>
    </w:rPr>
  </w:style>
  <w:style w:type="paragraph" w:styleId="PlainText">
    <w:name w:val="Plain Text"/>
    <w:basedOn w:val="Normal"/>
    <w:link w:val="PlainTextChar"/>
    <w:uiPriority w:val="99"/>
    <w:unhideWhenUsed/>
    <w:rsid w:val="00CC6D1A"/>
    <w:pPr>
      <w:spacing w:after="0" w:line="240" w:lineRule="auto"/>
    </w:pPr>
    <w:rPr>
      <w:rFonts w:ascii="Tahoma" w:eastAsiaTheme="minorEastAsia" w:hAnsi="Tahoma" w:cs="Tahoma"/>
      <w:sz w:val="20"/>
      <w:szCs w:val="20"/>
    </w:rPr>
  </w:style>
  <w:style w:type="character" w:customStyle="1" w:styleId="PlainTextChar">
    <w:name w:val="Plain Text Char"/>
    <w:basedOn w:val="DefaultParagraphFont"/>
    <w:link w:val="PlainText"/>
    <w:uiPriority w:val="99"/>
    <w:rsid w:val="00CC6D1A"/>
    <w:rPr>
      <w:rFonts w:ascii="Tahoma" w:eastAsiaTheme="minorEastAsia" w:hAnsi="Tahoma" w:cs="Tahoma"/>
      <w:sz w:val="20"/>
      <w:szCs w:val="20"/>
      <w:lang w:val="en-GB"/>
    </w:rPr>
  </w:style>
  <w:style w:type="character" w:styleId="Strong">
    <w:name w:val="Strong"/>
    <w:basedOn w:val="DefaultParagraphFont"/>
    <w:uiPriority w:val="22"/>
    <w:qFormat/>
    <w:rsid w:val="00CC6D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C6D1A"/>
    <w:pPr>
      <w:spacing w:before="100" w:beforeAutospacing="1" w:after="300" w:line="420" w:lineRule="atLeast"/>
      <w:outlineLvl w:val="0"/>
    </w:pPr>
    <w:rPr>
      <w:rFonts w:ascii="Arial" w:eastAsiaTheme="minorEastAsia" w:hAnsi="Arial" w:cs="Arial"/>
      <w:color w:val="00587C"/>
      <w:kern w:val="36"/>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39CB"/>
    <w:pPr>
      <w:autoSpaceDE w:val="0"/>
      <w:autoSpaceDN w:val="0"/>
      <w:adjustRightInd w:val="0"/>
      <w:spacing w:after="0" w:line="240" w:lineRule="auto"/>
    </w:pPr>
    <w:rPr>
      <w:rFonts w:ascii="Segoe UI" w:hAnsi="Segoe UI" w:cs="Segoe UI"/>
      <w:color w:val="000000"/>
      <w:sz w:val="24"/>
      <w:szCs w:val="24"/>
    </w:rPr>
  </w:style>
  <w:style w:type="paragraph" w:styleId="Header">
    <w:name w:val="header"/>
    <w:basedOn w:val="Normal"/>
    <w:link w:val="HeaderChar"/>
    <w:uiPriority w:val="99"/>
    <w:unhideWhenUsed/>
    <w:rsid w:val="00CC6D1A"/>
    <w:pPr>
      <w:tabs>
        <w:tab w:val="center" w:pos="4677"/>
        <w:tab w:val="right" w:pos="9355"/>
      </w:tabs>
      <w:spacing w:after="0" w:line="240" w:lineRule="auto"/>
    </w:pPr>
  </w:style>
  <w:style w:type="character" w:customStyle="1" w:styleId="HeaderChar">
    <w:name w:val="Header Char"/>
    <w:basedOn w:val="DefaultParagraphFont"/>
    <w:link w:val="Header"/>
    <w:uiPriority w:val="99"/>
    <w:rsid w:val="00CC6D1A"/>
  </w:style>
  <w:style w:type="paragraph" w:styleId="Footer">
    <w:name w:val="footer"/>
    <w:basedOn w:val="Normal"/>
    <w:link w:val="FooterChar"/>
    <w:uiPriority w:val="99"/>
    <w:unhideWhenUsed/>
    <w:rsid w:val="00CC6D1A"/>
    <w:pPr>
      <w:tabs>
        <w:tab w:val="center" w:pos="4677"/>
        <w:tab w:val="right" w:pos="9355"/>
      </w:tabs>
      <w:spacing w:after="0" w:line="240" w:lineRule="auto"/>
    </w:pPr>
  </w:style>
  <w:style w:type="character" w:customStyle="1" w:styleId="FooterChar">
    <w:name w:val="Footer Char"/>
    <w:basedOn w:val="DefaultParagraphFont"/>
    <w:link w:val="Footer"/>
    <w:uiPriority w:val="99"/>
    <w:rsid w:val="00CC6D1A"/>
  </w:style>
  <w:style w:type="character" w:customStyle="1" w:styleId="Heading1Char">
    <w:name w:val="Heading 1 Char"/>
    <w:basedOn w:val="DefaultParagraphFont"/>
    <w:link w:val="Heading1"/>
    <w:uiPriority w:val="9"/>
    <w:rsid w:val="00CC6D1A"/>
    <w:rPr>
      <w:rFonts w:ascii="Arial" w:eastAsiaTheme="minorEastAsia" w:hAnsi="Arial" w:cs="Arial"/>
      <w:color w:val="00587C"/>
      <w:kern w:val="36"/>
      <w:sz w:val="36"/>
      <w:szCs w:val="36"/>
      <w:lang w:val="en-GB" w:eastAsia="zh-CN"/>
    </w:rPr>
  </w:style>
  <w:style w:type="character" w:styleId="Hyperlink">
    <w:name w:val="Hyperlink"/>
    <w:basedOn w:val="DefaultParagraphFont"/>
    <w:uiPriority w:val="99"/>
    <w:semiHidden/>
    <w:unhideWhenUsed/>
    <w:rsid w:val="00CC6D1A"/>
    <w:rPr>
      <w:color w:val="0000FF"/>
      <w:u w:val="single"/>
    </w:rPr>
  </w:style>
  <w:style w:type="paragraph" w:styleId="NormalWeb">
    <w:name w:val="Normal (Web)"/>
    <w:basedOn w:val="Normal"/>
    <w:uiPriority w:val="99"/>
    <w:unhideWhenUsed/>
    <w:rsid w:val="00CC6D1A"/>
    <w:pPr>
      <w:spacing w:before="100" w:beforeAutospacing="1" w:after="100" w:afterAutospacing="1" w:line="240" w:lineRule="auto"/>
    </w:pPr>
    <w:rPr>
      <w:rFonts w:ascii="Times New Roman" w:eastAsiaTheme="minorEastAsia" w:hAnsi="Times New Roman" w:cs="Times New Roman"/>
      <w:sz w:val="24"/>
      <w:szCs w:val="24"/>
      <w:lang w:eastAsia="zh-CN"/>
    </w:rPr>
  </w:style>
  <w:style w:type="paragraph" w:styleId="PlainText">
    <w:name w:val="Plain Text"/>
    <w:basedOn w:val="Normal"/>
    <w:link w:val="PlainTextChar"/>
    <w:uiPriority w:val="99"/>
    <w:unhideWhenUsed/>
    <w:rsid w:val="00CC6D1A"/>
    <w:pPr>
      <w:spacing w:after="0" w:line="240" w:lineRule="auto"/>
    </w:pPr>
    <w:rPr>
      <w:rFonts w:ascii="Tahoma" w:eastAsiaTheme="minorEastAsia" w:hAnsi="Tahoma" w:cs="Tahoma"/>
      <w:sz w:val="20"/>
      <w:szCs w:val="20"/>
    </w:rPr>
  </w:style>
  <w:style w:type="character" w:customStyle="1" w:styleId="PlainTextChar">
    <w:name w:val="Plain Text Char"/>
    <w:basedOn w:val="DefaultParagraphFont"/>
    <w:link w:val="PlainText"/>
    <w:uiPriority w:val="99"/>
    <w:rsid w:val="00CC6D1A"/>
    <w:rPr>
      <w:rFonts w:ascii="Tahoma" w:eastAsiaTheme="minorEastAsia" w:hAnsi="Tahoma" w:cs="Tahoma"/>
      <w:sz w:val="20"/>
      <w:szCs w:val="20"/>
      <w:lang w:val="en-GB"/>
    </w:rPr>
  </w:style>
  <w:style w:type="character" w:styleId="Strong">
    <w:name w:val="Strong"/>
    <w:basedOn w:val="DefaultParagraphFont"/>
    <w:uiPriority w:val="22"/>
    <w:qFormat/>
    <w:rsid w:val="00CC6D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ge@ge-rus.com?subject=Conference-15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C919A-8230-4071-8BC3-C332E83C0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Berwin Leighton Paisner</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trc@the-royal-club.ru</dc:creator>
  <cp:lastModifiedBy>BLP</cp:lastModifiedBy>
  <cp:revision>2</cp:revision>
  <dcterms:created xsi:type="dcterms:W3CDTF">2021-07-06T10:11:00Z</dcterms:created>
  <dcterms:modified xsi:type="dcterms:W3CDTF">2021-07-06T10:11:00Z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17397989-aff8-4921-bbb5-c9c9849bb088</vt:lpwstr>
  </property>
  <property fmtid="{D5CDD505-2E9C-101B-9397-08002B2CF9AE}" pid="3" name="CustomFooter">
    <vt:lpwstr>SupportRussia.588984.1/AMRZ</vt:lpwstr>
  </property>
  <property fmtid="{D5CDD505-2E9C-101B-9397-08002B2CF9AE}" pid="4" name="Keywords">
    <vt:lpwstr>588984.1</vt:lpwstr>
  </property>
  <property fmtid="{D5CDD505-2E9C-101B-9397-08002B2CF9AE}" pid="5" name="LastEdit">
    <vt:lpwstr>06.07.21</vt:lpwstr>
  </property>
  <property fmtid="{D5CDD505-2E9C-101B-9397-08002B2CF9AE}" pid="6" name="VersionCreated">
    <vt:lpwstr>06.07.21</vt:lpwstr>
  </property>
  <property fmtid="{D5CDD505-2E9C-101B-9397-08002B2CF9AE}" pid="7" name="CreateDate">
    <vt:lpwstr>06.07.21</vt:lpwstr>
  </property>
</Properties>
</file>