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7"/>
        <w:gridCol w:w="2497"/>
      </w:tblGrid>
      <w:tr w:rsidR="0090728B" w:rsidTr="00334259">
        <w:trPr>
          <w:cantSplit/>
          <w:trHeight w:val="1304"/>
        </w:trPr>
        <w:tc>
          <w:tcPr>
            <w:tcW w:w="6804" w:type="dxa"/>
          </w:tcPr>
          <w:p w:rsidR="0090728B" w:rsidRPr="002622BA" w:rsidRDefault="0090728B" w:rsidP="00334259">
            <w:pPr>
              <w:rPr>
                <w:rFonts w:eastAsia="Arial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2057400" cy="533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:rsidR="0090728B" w:rsidRPr="002622BA" w:rsidRDefault="0090728B" w:rsidP="00334259">
            <w:pPr>
              <w:tabs>
                <w:tab w:val="left" w:pos="288"/>
              </w:tabs>
              <w:rPr>
                <w:rFonts w:eastAsia="Arial"/>
              </w:rPr>
            </w:pPr>
          </w:p>
        </w:tc>
      </w:tr>
    </w:tbl>
    <w:p w:rsidR="0090728B" w:rsidRPr="00664528" w:rsidRDefault="0090728B" w:rsidP="0090728B">
      <w:pPr>
        <w:pStyle w:val="BodyText"/>
        <w:suppressAutoHyphens/>
        <w:rPr>
          <w:lang w:val="ru-RU"/>
        </w:rPr>
      </w:pPr>
      <w:r>
        <w:rPr>
          <w:lang w:val="ru-RU"/>
        </w:rPr>
        <w:t>Пресс</w:t>
      </w:r>
      <w:r w:rsidRPr="00664528">
        <w:rPr>
          <w:lang w:val="ru-RU"/>
        </w:rPr>
        <w:t>-</w:t>
      </w:r>
      <w:r>
        <w:rPr>
          <w:lang w:val="ru-RU"/>
        </w:rPr>
        <w:t>релиз</w:t>
      </w:r>
    </w:p>
    <w:p w:rsidR="00EE0330" w:rsidRPr="003E3335" w:rsidRDefault="00EE0330" w:rsidP="0090728B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90728B">
        <w:rPr>
          <w:rFonts w:ascii="Arial" w:hAnsi="Arial" w:cs="Arial"/>
          <w:b/>
          <w:bCs/>
          <w:sz w:val="32"/>
          <w:szCs w:val="32"/>
          <w:lang w:val="en-GB"/>
        </w:rPr>
        <w:t>Dentons</w:t>
      </w:r>
      <w:r w:rsidR="003E3335" w:rsidRPr="003E3335">
        <w:rPr>
          <w:rFonts w:ascii="Arial" w:hAnsi="Arial" w:cs="Arial"/>
          <w:b/>
          <w:bCs/>
          <w:sz w:val="32"/>
          <w:szCs w:val="32"/>
          <w:lang w:val="ru-RU"/>
        </w:rPr>
        <w:t xml:space="preserve"> </w:t>
      </w:r>
      <w:r w:rsidR="003E3335">
        <w:rPr>
          <w:rFonts w:ascii="Arial" w:hAnsi="Arial" w:cs="Arial"/>
          <w:b/>
          <w:bCs/>
          <w:sz w:val="32"/>
          <w:szCs w:val="32"/>
          <w:lang w:val="ru-RU"/>
        </w:rPr>
        <w:t xml:space="preserve">выиграла тендер </w:t>
      </w:r>
      <w:r w:rsidR="00FD4981">
        <w:rPr>
          <w:rFonts w:ascii="Arial" w:hAnsi="Arial" w:cs="Arial"/>
          <w:b/>
          <w:bCs/>
          <w:sz w:val="32"/>
          <w:szCs w:val="32"/>
          <w:lang w:val="ru-RU"/>
        </w:rPr>
        <w:t xml:space="preserve">по разработке налогового законодательства </w:t>
      </w:r>
      <w:r w:rsidR="003E3335">
        <w:rPr>
          <w:rFonts w:ascii="Arial" w:hAnsi="Arial" w:cs="Arial"/>
          <w:b/>
          <w:bCs/>
          <w:sz w:val="32"/>
          <w:szCs w:val="32"/>
          <w:lang w:val="ru-RU"/>
        </w:rPr>
        <w:t>в области цифровой экономики</w:t>
      </w:r>
    </w:p>
    <w:p w:rsidR="00EE0330" w:rsidRDefault="00EE0330" w:rsidP="00EE0330">
      <w:pPr>
        <w:spacing w:after="120"/>
        <w:jc w:val="both"/>
        <w:rPr>
          <w:rFonts w:ascii="Arial" w:hAnsi="Arial" w:cs="Arial"/>
          <w:sz w:val="20"/>
          <w:szCs w:val="20"/>
          <w:lang w:val="ru-RU"/>
        </w:rPr>
      </w:pPr>
    </w:p>
    <w:p w:rsidR="000F1116" w:rsidRPr="00653BA9" w:rsidRDefault="00D05B5D" w:rsidP="00D31EFA">
      <w:pPr>
        <w:spacing w:after="120"/>
        <w:jc w:val="both"/>
        <w:rPr>
          <w:rFonts w:ascii="Arial" w:hAnsi="Arial" w:cs="Arial"/>
          <w:lang w:val="ru-RU"/>
        </w:rPr>
      </w:pPr>
      <w:r w:rsidRPr="00CA05E4">
        <w:rPr>
          <w:rFonts w:ascii="Arial" w:hAnsi="Arial" w:cs="Arial"/>
          <w:lang w:val="ru-RU"/>
        </w:rPr>
        <w:t xml:space="preserve">Москва, </w:t>
      </w:r>
      <w:r w:rsidR="00472674">
        <w:rPr>
          <w:rFonts w:ascii="Arial" w:hAnsi="Arial" w:cs="Arial"/>
          <w:lang w:val="ru-RU"/>
        </w:rPr>
        <w:t xml:space="preserve">26 </w:t>
      </w:r>
      <w:r w:rsidR="003E3335">
        <w:rPr>
          <w:rFonts w:ascii="Arial" w:hAnsi="Arial" w:cs="Arial"/>
          <w:lang w:val="ru-RU"/>
        </w:rPr>
        <w:t>марта</w:t>
      </w:r>
      <w:r w:rsidR="00CA05E4" w:rsidRPr="00CA05E4">
        <w:rPr>
          <w:rFonts w:ascii="Arial" w:hAnsi="Arial" w:cs="Arial"/>
          <w:lang w:val="ru-RU"/>
        </w:rPr>
        <w:t xml:space="preserve"> 2018</w:t>
      </w:r>
      <w:r w:rsidRPr="00CA05E4">
        <w:rPr>
          <w:rFonts w:ascii="Arial" w:hAnsi="Arial" w:cs="Arial"/>
          <w:lang w:val="ru-RU"/>
        </w:rPr>
        <w:t xml:space="preserve"> года – </w:t>
      </w:r>
      <w:r w:rsidR="003E3335">
        <w:rPr>
          <w:rFonts w:ascii="Arial" w:hAnsi="Arial" w:cs="Arial"/>
          <w:lang w:val="ru-RU"/>
        </w:rPr>
        <w:t xml:space="preserve"> </w:t>
      </w:r>
      <w:r w:rsidR="00653BA9">
        <w:rPr>
          <w:rFonts w:ascii="Arial" w:hAnsi="Arial" w:cs="Arial"/>
          <w:lang w:val="ru-RU"/>
        </w:rPr>
        <w:t xml:space="preserve">Российская налоговая и таможенная практика </w:t>
      </w:r>
      <w:r w:rsidR="003E3335">
        <w:rPr>
          <w:rFonts w:ascii="Arial" w:hAnsi="Arial" w:cs="Arial"/>
        </w:rPr>
        <w:t>Dentons</w:t>
      </w:r>
      <w:r w:rsidR="003E3335">
        <w:rPr>
          <w:rFonts w:ascii="Arial" w:hAnsi="Arial" w:cs="Arial"/>
          <w:lang w:val="ru-RU"/>
        </w:rPr>
        <w:t xml:space="preserve"> выиграла тендер </w:t>
      </w:r>
      <w:r w:rsidR="00997E81" w:rsidRPr="00997E81">
        <w:rPr>
          <w:rFonts w:ascii="Arial" w:hAnsi="Arial" w:cs="Arial"/>
          <w:lang w:val="ru-RU"/>
        </w:rPr>
        <w:t>Фонда развития Центра разработки и коммерциализации технологий Сколково</w:t>
      </w:r>
      <w:r w:rsidR="00997E81">
        <w:rPr>
          <w:rFonts w:ascii="Arial" w:hAnsi="Arial" w:cs="Arial"/>
          <w:lang w:val="ru-RU"/>
        </w:rPr>
        <w:t xml:space="preserve"> </w:t>
      </w:r>
      <w:r w:rsidR="003E3335">
        <w:rPr>
          <w:rFonts w:ascii="Arial" w:hAnsi="Arial" w:cs="Arial"/>
          <w:lang w:val="ru-RU"/>
        </w:rPr>
        <w:t>по разработке законодател</w:t>
      </w:r>
      <w:r w:rsidR="00653BA9">
        <w:rPr>
          <w:rFonts w:ascii="Arial" w:hAnsi="Arial" w:cs="Arial"/>
          <w:lang w:val="ru-RU"/>
        </w:rPr>
        <w:t xml:space="preserve">ьства по следующим </w:t>
      </w:r>
      <w:r w:rsidR="00472674">
        <w:rPr>
          <w:rFonts w:ascii="Arial" w:hAnsi="Arial" w:cs="Arial"/>
          <w:lang w:val="ru-RU"/>
        </w:rPr>
        <w:t>направлениям</w:t>
      </w:r>
      <w:r w:rsidR="00653BA9" w:rsidRPr="00653BA9">
        <w:rPr>
          <w:rFonts w:ascii="Arial" w:hAnsi="Arial" w:cs="Arial"/>
          <w:lang w:val="ru-RU"/>
        </w:rPr>
        <w:t>:</w:t>
      </w:r>
    </w:p>
    <w:p w:rsidR="00072F01" w:rsidRPr="00072F01" w:rsidRDefault="00072F01" w:rsidP="00072F01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ru-RU"/>
        </w:rPr>
      </w:pPr>
      <w:r w:rsidRPr="00072F01">
        <w:rPr>
          <w:rFonts w:ascii="Arial" w:hAnsi="Arial" w:cs="Arial"/>
          <w:b/>
          <w:lang w:val="ru-RU"/>
        </w:rPr>
        <w:t xml:space="preserve">Льгота на НИОКР и </w:t>
      </w:r>
      <w:proofErr w:type="spellStart"/>
      <w:r w:rsidRPr="00072F01">
        <w:rPr>
          <w:rFonts w:ascii="Arial" w:hAnsi="Arial" w:cs="Arial"/>
          <w:b/>
          <w:lang w:val="ru-RU"/>
        </w:rPr>
        <w:t>Patent</w:t>
      </w:r>
      <w:proofErr w:type="spellEnd"/>
      <w:r w:rsidRPr="00072F01">
        <w:rPr>
          <w:rFonts w:ascii="Arial" w:hAnsi="Arial" w:cs="Arial"/>
          <w:b/>
          <w:lang w:val="ru-RU"/>
        </w:rPr>
        <w:t xml:space="preserve"> </w:t>
      </w:r>
      <w:proofErr w:type="spellStart"/>
      <w:r w:rsidRPr="00072F01">
        <w:rPr>
          <w:rFonts w:ascii="Arial" w:hAnsi="Arial" w:cs="Arial"/>
          <w:b/>
          <w:lang w:val="ru-RU"/>
        </w:rPr>
        <w:t>Box</w:t>
      </w:r>
      <w:proofErr w:type="spellEnd"/>
    </w:p>
    <w:p w:rsidR="00072F01" w:rsidRPr="00072F01" w:rsidRDefault="00072F01" w:rsidP="00072F01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ru-RU"/>
        </w:rPr>
      </w:pPr>
      <w:r w:rsidRPr="00072F01">
        <w:rPr>
          <w:rFonts w:ascii="Arial" w:hAnsi="Arial" w:cs="Arial"/>
          <w:b/>
          <w:lang w:val="ru-RU"/>
        </w:rPr>
        <w:t>Налоговое резидентство физических лиц - новые правила</w:t>
      </w:r>
    </w:p>
    <w:p w:rsidR="00072F01" w:rsidRPr="00072F01" w:rsidRDefault="00072F01" w:rsidP="00072F01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ru-RU"/>
        </w:rPr>
      </w:pPr>
      <w:r w:rsidRPr="00072F01">
        <w:rPr>
          <w:rFonts w:ascii="Arial" w:hAnsi="Arial" w:cs="Arial"/>
          <w:b/>
          <w:lang w:val="ru-RU"/>
        </w:rPr>
        <w:t>Вычет НДФЛ для бизнес-ангелов</w:t>
      </w:r>
    </w:p>
    <w:p w:rsidR="00072F01" w:rsidRPr="00072F01" w:rsidRDefault="00072F01" w:rsidP="00072F01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ru-RU"/>
        </w:rPr>
      </w:pPr>
      <w:r w:rsidRPr="00072F01">
        <w:rPr>
          <w:rFonts w:ascii="Arial" w:hAnsi="Arial" w:cs="Arial"/>
          <w:b/>
          <w:lang w:val="ru-RU"/>
        </w:rPr>
        <w:t>Вычет «входящего» НДС при экспорте электронных и ИТ-услуг и при реализации прав на РИД</w:t>
      </w:r>
    </w:p>
    <w:p w:rsidR="00653BA9" w:rsidRDefault="00653BA9" w:rsidP="00472674">
      <w:pPr>
        <w:spacing w:after="120"/>
        <w:jc w:val="both"/>
        <w:rPr>
          <w:rFonts w:ascii="Arial" w:hAnsi="Arial" w:cs="Arial"/>
          <w:lang w:val="ru-RU"/>
        </w:rPr>
      </w:pPr>
    </w:p>
    <w:p w:rsidR="00997E81" w:rsidRDefault="00997E81" w:rsidP="00052E6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Цель</w:t>
      </w:r>
      <w:r w:rsidR="00CB3791">
        <w:rPr>
          <w:rFonts w:ascii="Arial" w:hAnsi="Arial" w:cs="Arial"/>
          <w:lang w:val="ru-RU"/>
        </w:rPr>
        <w:t xml:space="preserve"> данного проекта - </w:t>
      </w:r>
      <w:r w:rsidR="00CB3791" w:rsidRPr="00CB3791">
        <w:rPr>
          <w:rFonts w:ascii="Arial" w:hAnsi="Arial" w:cs="Arial"/>
          <w:lang w:val="ru-RU"/>
        </w:rPr>
        <w:t>создание стимулов для субъектов цифровой экономики и  повышение конкурентоспособности российской системы налогообложения</w:t>
      </w:r>
      <w:r w:rsidR="00CB3791">
        <w:rPr>
          <w:rFonts w:ascii="Arial" w:hAnsi="Arial" w:cs="Arial"/>
          <w:lang w:val="ru-RU"/>
        </w:rPr>
        <w:t>.</w:t>
      </w:r>
    </w:p>
    <w:p w:rsidR="00CB3791" w:rsidRPr="00CB3791" w:rsidRDefault="00CB3791" w:rsidP="00052E68">
      <w:pPr>
        <w:jc w:val="both"/>
        <w:rPr>
          <w:rFonts w:ascii="Arial" w:hAnsi="Arial" w:cs="Arial"/>
          <w:lang w:val="ru-RU"/>
        </w:rPr>
      </w:pPr>
    </w:p>
    <w:p w:rsidR="005E215B" w:rsidRPr="005E215B" w:rsidRDefault="006442AF" w:rsidP="00052E68">
      <w:pPr>
        <w:jc w:val="both"/>
        <w:rPr>
          <w:rFonts w:ascii="Arial" w:hAnsi="Arial" w:cs="Arial"/>
          <w:lang w:val="ru-RU"/>
        </w:rPr>
      </w:pPr>
      <w:r w:rsidRPr="005E215B">
        <w:rPr>
          <w:rFonts w:ascii="Arial" w:hAnsi="Arial" w:cs="Arial"/>
          <w:lang w:val="ru-RU"/>
        </w:rPr>
        <w:t xml:space="preserve">В 2017 году Правительство РФ </w:t>
      </w:r>
      <w:r w:rsidR="005E215B" w:rsidRPr="005E215B">
        <w:rPr>
          <w:rFonts w:ascii="Arial" w:hAnsi="Arial" w:cs="Arial"/>
          <w:lang w:val="ru-RU"/>
        </w:rPr>
        <w:t xml:space="preserve">утвердило </w:t>
      </w:r>
      <w:r w:rsidRPr="005E215B">
        <w:rPr>
          <w:rFonts w:ascii="Arial" w:hAnsi="Arial" w:cs="Arial"/>
          <w:lang w:val="ru-RU"/>
        </w:rPr>
        <w:t>программ</w:t>
      </w:r>
      <w:r w:rsidR="005E215B" w:rsidRPr="005E215B">
        <w:rPr>
          <w:rFonts w:ascii="Arial" w:hAnsi="Arial" w:cs="Arial"/>
          <w:lang w:val="ru-RU"/>
        </w:rPr>
        <w:t>у</w:t>
      </w:r>
      <w:r w:rsidRPr="005E215B">
        <w:rPr>
          <w:rFonts w:ascii="Arial" w:hAnsi="Arial" w:cs="Arial"/>
          <w:lang w:val="ru-RU"/>
        </w:rPr>
        <w:t xml:space="preserve"> по реализации проекта "Цифровая экономика"</w:t>
      </w:r>
      <w:r w:rsidR="005E215B" w:rsidRPr="005E215B">
        <w:rPr>
          <w:rFonts w:ascii="Arial" w:hAnsi="Arial" w:cs="Arial"/>
          <w:lang w:val="ru-RU"/>
        </w:rPr>
        <w:t xml:space="preserve">. </w:t>
      </w:r>
      <w:proofErr w:type="gramStart"/>
      <w:r w:rsidR="005E215B" w:rsidRPr="005E215B">
        <w:rPr>
          <w:rFonts w:ascii="Arial" w:hAnsi="Arial" w:cs="Arial"/>
          <w:lang w:val="ru-RU"/>
        </w:rPr>
        <w:t>Функции проектного офиса по реализации программы официально закреплены за автономной некомме</w:t>
      </w:r>
      <w:r w:rsidR="005E215B">
        <w:rPr>
          <w:rFonts w:ascii="Arial" w:hAnsi="Arial" w:cs="Arial"/>
          <w:lang w:val="ru-RU"/>
        </w:rPr>
        <w:t>рческой организацией «</w:t>
      </w:r>
      <w:r w:rsidR="005E215B" w:rsidRPr="005E215B">
        <w:rPr>
          <w:rFonts w:ascii="Arial" w:hAnsi="Arial" w:cs="Arial"/>
          <w:lang w:val="ru-RU"/>
        </w:rPr>
        <w:t>Аналитический центр при Правительстве Российской Федерации</w:t>
      </w:r>
      <w:r w:rsidR="005E215B">
        <w:rPr>
          <w:rFonts w:ascii="Arial" w:hAnsi="Arial" w:cs="Arial"/>
          <w:lang w:val="ru-RU"/>
        </w:rPr>
        <w:t>»,</w:t>
      </w:r>
      <w:r w:rsidR="005E215B" w:rsidRPr="005E215B">
        <w:rPr>
          <w:rFonts w:ascii="Arial" w:hAnsi="Arial" w:cs="Arial"/>
          <w:lang w:val="ru-RU"/>
        </w:rPr>
        <w:t xml:space="preserve"> а за специально созданной АНО «Цифровая экономика» (АНО ЦЭ) закреплены полномочия по созданию </w:t>
      </w:r>
      <w:r w:rsidR="00997E81" w:rsidRPr="005E215B">
        <w:rPr>
          <w:rFonts w:ascii="Arial" w:hAnsi="Arial" w:cs="Arial"/>
          <w:lang w:val="ru-RU"/>
        </w:rPr>
        <w:t xml:space="preserve">рабочих </w:t>
      </w:r>
      <w:r w:rsidR="005E215B" w:rsidRPr="005E215B">
        <w:rPr>
          <w:rFonts w:ascii="Arial" w:hAnsi="Arial" w:cs="Arial"/>
          <w:lang w:val="ru-RU"/>
        </w:rPr>
        <w:t>групп</w:t>
      </w:r>
      <w:r w:rsidR="00997E81">
        <w:rPr>
          <w:rFonts w:ascii="Arial" w:hAnsi="Arial" w:cs="Arial"/>
          <w:lang w:val="ru-RU"/>
        </w:rPr>
        <w:t xml:space="preserve"> (РГ)</w:t>
      </w:r>
      <w:r w:rsidR="005E215B" w:rsidRPr="005E215B">
        <w:rPr>
          <w:rFonts w:ascii="Arial" w:hAnsi="Arial" w:cs="Arial"/>
          <w:lang w:val="ru-RU"/>
        </w:rPr>
        <w:t xml:space="preserve"> и центров компетенций, а также взаимодействие с бизнесом.</w:t>
      </w:r>
      <w:proofErr w:type="gramEnd"/>
    </w:p>
    <w:p w:rsidR="005E215B" w:rsidRDefault="005E215B" w:rsidP="00052E68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052E68" w:rsidRPr="00052E68" w:rsidRDefault="005E215B" w:rsidP="00052E6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="00052E68">
        <w:rPr>
          <w:rFonts w:ascii="Arial" w:hAnsi="Arial" w:cs="Arial"/>
          <w:lang w:val="ru-RU"/>
        </w:rPr>
        <w:t>егодня два</w:t>
      </w:r>
      <w:r w:rsidR="00472674">
        <w:rPr>
          <w:rFonts w:ascii="Arial" w:hAnsi="Arial" w:cs="Arial"/>
          <w:lang w:val="ru-RU"/>
        </w:rPr>
        <w:t xml:space="preserve"> партнера </w:t>
      </w:r>
      <w:r w:rsidR="00472674">
        <w:rPr>
          <w:rFonts w:ascii="Arial" w:hAnsi="Arial" w:cs="Arial"/>
        </w:rPr>
        <w:t>Dentons</w:t>
      </w:r>
      <w:r w:rsidR="00472674" w:rsidRPr="00472674">
        <w:rPr>
          <w:rFonts w:ascii="Arial" w:hAnsi="Arial" w:cs="Arial"/>
          <w:lang w:val="ru-RU"/>
        </w:rPr>
        <w:t xml:space="preserve"> </w:t>
      </w:r>
      <w:r w:rsidR="00472674">
        <w:rPr>
          <w:rFonts w:ascii="Arial" w:hAnsi="Arial" w:cs="Arial"/>
          <w:lang w:val="ru-RU"/>
        </w:rPr>
        <w:t xml:space="preserve">руководят </w:t>
      </w:r>
      <w:r w:rsidR="007571B7">
        <w:rPr>
          <w:rFonts w:ascii="Arial" w:hAnsi="Arial" w:cs="Arial"/>
          <w:lang w:val="ru-RU"/>
        </w:rPr>
        <w:t>в центре компетенций тематической рабочей группой (</w:t>
      </w:r>
      <w:r w:rsidR="00052E68">
        <w:rPr>
          <w:rFonts w:ascii="Arial" w:hAnsi="Arial" w:cs="Arial"/>
          <w:lang w:val="ru-RU"/>
        </w:rPr>
        <w:t>ТРГ</w:t>
      </w:r>
      <w:r w:rsidR="007571B7">
        <w:rPr>
          <w:rFonts w:ascii="Arial" w:hAnsi="Arial" w:cs="Arial"/>
          <w:lang w:val="ru-RU"/>
        </w:rPr>
        <w:t>)</w:t>
      </w:r>
      <w:r w:rsidR="00472674" w:rsidRPr="00472674">
        <w:rPr>
          <w:rFonts w:ascii="Arial" w:hAnsi="Arial" w:cs="Arial"/>
          <w:lang w:val="ru-RU"/>
        </w:rPr>
        <w:t xml:space="preserve"> по реализации государственной программы «Цифровая экономика РФ»</w:t>
      </w:r>
      <w:r w:rsidR="00052E68" w:rsidRPr="00052E68">
        <w:rPr>
          <w:rFonts w:ascii="Arial" w:hAnsi="Arial" w:cs="Arial"/>
          <w:lang w:val="ru-RU"/>
        </w:rPr>
        <w:t>:</w:t>
      </w:r>
      <w:r w:rsidR="00052E68">
        <w:rPr>
          <w:rFonts w:ascii="Arial" w:hAnsi="Arial" w:cs="Arial"/>
          <w:lang w:val="ru-RU"/>
        </w:rPr>
        <w:t xml:space="preserve"> Василий Марков – </w:t>
      </w:r>
      <w:r w:rsidR="00052E68" w:rsidRPr="00052E68">
        <w:rPr>
          <w:rFonts w:ascii="Arial" w:hAnsi="Arial" w:cs="Arial"/>
          <w:lang w:val="ru-RU"/>
        </w:rPr>
        <w:t>ТРГ</w:t>
      </w:r>
      <w:r w:rsidR="00052E68">
        <w:rPr>
          <w:rFonts w:ascii="Arial" w:hAnsi="Arial" w:cs="Arial"/>
          <w:lang w:val="ru-RU"/>
        </w:rPr>
        <w:t xml:space="preserve"> </w:t>
      </w:r>
      <w:r w:rsidR="00052E68" w:rsidRPr="00052E68">
        <w:rPr>
          <w:rFonts w:ascii="Arial" w:hAnsi="Arial" w:cs="Arial"/>
          <w:lang w:val="ru-RU"/>
        </w:rPr>
        <w:t>«Специальные правовые режимы»</w:t>
      </w:r>
      <w:r w:rsidR="00052E68">
        <w:rPr>
          <w:rFonts w:ascii="Arial" w:hAnsi="Arial" w:cs="Arial"/>
          <w:lang w:val="ru-RU"/>
        </w:rPr>
        <w:t xml:space="preserve"> и Виктор Наумов – </w:t>
      </w:r>
      <w:r w:rsidR="00052E68" w:rsidRPr="00052E68">
        <w:rPr>
          <w:rFonts w:ascii="Arial" w:hAnsi="Arial" w:cs="Arial"/>
          <w:lang w:val="ru-RU"/>
        </w:rPr>
        <w:t>ТРГ «</w:t>
      </w:r>
      <w:proofErr w:type="spellStart"/>
      <w:r w:rsidR="00052E68" w:rsidRPr="00052E68">
        <w:rPr>
          <w:rFonts w:ascii="Arial" w:hAnsi="Arial" w:cs="Arial"/>
          <w:lang w:val="ru-RU"/>
        </w:rPr>
        <w:t>Киберфизические</w:t>
      </w:r>
      <w:proofErr w:type="spellEnd"/>
      <w:r w:rsidR="00052E68" w:rsidRPr="00052E68">
        <w:rPr>
          <w:rFonts w:ascii="Arial" w:hAnsi="Arial" w:cs="Arial"/>
          <w:lang w:val="ru-RU"/>
        </w:rPr>
        <w:t xml:space="preserve"> системы»</w:t>
      </w:r>
      <w:r w:rsidR="00052E68">
        <w:rPr>
          <w:rFonts w:ascii="Arial" w:hAnsi="Arial" w:cs="Arial"/>
          <w:lang w:val="ru-RU"/>
        </w:rPr>
        <w:t xml:space="preserve">, а также входит в главную РГ </w:t>
      </w:r>
      <w:r w:rsidR="00052E68" w:rsidRPr="00052E68">
        <w:rPr>
          <w:rFonts w:ascii="Arial" w:hAnsi="Arial" w:cs="Arial"/>
          <w:lang w:val="ru-RU"/>
        </w:rPr>
        <w:t>«Нормативное регулиро</w:t>
      </w:r>
      <w:r w:rsidR="00052E68">
        <w:rPr>
          <w:rFonts w:ascii="Arial" w:hAnsi="Arial" w:cs="Arial"/>
          <w:lang w:val="ru-RU"/>
        </w:rPr>
        <w:t>вание» АНО «Цифровая экономика»</w:t>
      </w:r>
      <w:r w:rsidR="00472674" w:rsidRPr="00472674">
        <w:rPr>
          <w:rFonts w:ascii="Arial" w:hAnsi="Arial" w:cs="Arial"/>
          <w:lang w:val="ru-RU"/>
        </w:rPr>
        <w:t>.</w:t>
      </w:r>
      <w:r w:rsidR="00052E68">
        <w:rPr>
          <w:rFonts w:ascii="Arial" w:hAnsi="Arial" w:cs="Arial"/>
          <w:lang w:val="ru-RU"/>
        </w:rPr>
        <w:t xml:space="preserve"> Юристы</w:t>
      </w:r>
      <w:r w:rsidR="00052E68" w:rsidRPr="00052E68">
        <w:rPr>
          <w:rFonts w:ascii="Arial" w:hAnsi="Arial" w:cs="Arial"/>
          <w:lang w:val="ru-RU"/>
        </w:rPr>
        <w:t xml:space="preserve"> Dentons </w:t>
      </w:r>
      <w:r w:rsidR="00052E68">
        <w:rPr>
          <w:rFonts w:ascii="Arial" w:hAnsi="Arial" w:cs="Arial"/>
          <w:lang w:val="ru-RU"/>
        </w:rPr>
        <w:t>уча</w:t>
      </w:r>
      <w:r w:rsidR="00052E68" w:rsidRPr="00052E68">
        <w:rPr>
          <w:rFonts w:ascii="Arial" w:hAnsi="Arial" w:cs="Arial"/>
          <w:lang w:val="ru-RU"/>
        </w:rPr>
        <w:t>ствовали в формировании Налоговой стратегии до 2020 в части налоговых льгот  в экспертной группе по налоговой политике при Центре стратегических разработок</w:t>
      </w:r>
      <w:r w:rsidR="00052E68">
        <w:rPr>
          <w:rFonts w:ascii="Arial" w:hAnsi="Arial" w:cs="Arial"/>
          <w:lang w:val="ru-RU"/>
        </w:rPr>
        <w:t xml:space="preserve">, ведут экспертную группу при </w:t>
      </w:r>
      <w:r w:rsidR="00052E68" w:rsidRPr="00052E68">
        <w:rPr>
          <w:rFonts w:ascii="Arial" w:hAnsi="Arial" w:cs="Arial"/>
          <w:lang w:val="ru-RU"/>
        </w:rPr>
        <w:t>Правительстве РФ по разработке налоговых мер поддержки инноваций</w:t>
      </w:r>
      <w:r w:rsidR="00052E68">
        <w:rPr>
          <w:rFonts w:ascii="Arial" w:hAnsi="Arial" w:cs="Arial"/>
          <w:lang w:val="ru-RU"/>
        </w:rPr>
        <w:t>, р</w:t>
      </w:r>
      <w:r w:rsidR="00052E68" w:rsidRPr="00052E68">
        <w:rPr>
          <w:rFonts w:ascii="Arial" w:hAnsi="Arial" w:cs="Arial"/>
          <w:lang w:val="ru-RU"/>
        </w:rPr>
        <w:t>азрабатывали пакеты мер налоговой поддержки бизнеса для правительств ряда стран СНГ</w:t>
      </w:r>
      <w:r w:rsidR="00052E68">
        <w:rPr>
          <w:rFonts w:ascii="Arial" w:hAnsi="Arial" w:cs="Arial"/>
          <w:lang w:val="ru-RU"/>
        </w:rPr>
        <w:t>.</w:t>
      </w:r>
    </w:p>
    <w:p w:rsidR="00653BA9" w:rsidRPr="00596E25" w:rsidRDefault="00596E25" w:rsidP="00596E25">
      <w:pPr>
        <w:spacing w:before="100" w:beforeAutospacing="1" w:after="100" w:afterAutospacing="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>Василий Марков</w:t>
      </w:r>
      <w:r w:rsidRPr="000F1116">
        <w:rPr>
          <w:rFonts w:ascii="Arial" w:hAnsi="Arial" w:cs="Arial"/>
          <w:lang w:val="ru-RU"/>
        </w:rPr>
        <w:t>, партнер</w:t>
      </w:r>
      <w:r>
        <w:rPr>
          <w:rFonts w:ascii="Arial" w:hAnsi="Arial" w:cs="Arial"/>
          <w:lang w:val="ru-RU"/>
        </w:rPr>
        <w:t xml:space="preserve"> </w:t>
      </w:r>
      <w:r w:rsidRPr="000F1116">
        <w:rPr>
          <w:rFonts w:ascii="Arial" w:hAnsi="Arial" w:cs="Arial"/>
          <w:lang w:val="ru-RU"/>
        </w:rPr>
        <w:t xml:space="preserve">российской налоговой и таможенной практики </w:t>
      </w:r>
      <w:r w:rsidRPr="000F1116">
        <w:rPr>
          <w:rFonts w:ascii="Arial" w:hAnsi="Arial" w:cs="Arial"/>
          <w:lang w:val="en-GB"/>
        </w:rPr>
        <w:t>Dentons</w:t>
      </w:r>
      <w:r w:rsidRPr="000F1116">
        <w:rPr>
          <w:rFonts w:ascii="Arial" w:hAnsi="Arial" w:cs="Arial"/>
          <w:lang w:val="ru-RU"/>
        </w:rPr>
        <w:t xml:space="preserve">: </w:t>
      </w:r>
      <w:r w:rsidR="00072F01" w:rsidRPr="00472674">
        <w:rPr>
          <w:rFonts w:ascii="Arial" w:hAnsi="Arial" w:cs="Arial"/>
          <w:i/>
          <w:lang w:val="ru-RU"/>
        </w:rPr>
        <w:t xml:space="preserve">«Прежде всего, мы благодарим Фонд «Сколково» за выбор нашей команды на эти важные для российской налоговой системы проекты. В своей работе мы опираемся на накопленную налоговую экспертизу в отрасли высоких технологий и учитываем мнение широкого круга экспертов нашей тематической рабочей группы – представителей бизнес-сообщества, экспертных и научных ассоциаций, а также заинтересованных министерств и ведомств. Наша междисциплинарная и нормотворческая экспертиза по </w:t>
      </w:r>
      <w:r w:rsidR="00CB3791">
        <w:rPr>
          <w:rFonts w:ascii="Arial" w:hAnsi="Arial" w:cs="Arial"/>
          <w:i/>
          <w:lang w:val="ru-RU"/>
        </w:rPr>
        <w:t>передовым</w:t>
      </w:r>
      <w:r w:rsidR="00072F01" w:rsidRPr="00472674">
        <w:rPr>
          <w:rFonts w:ascii="Arial" w:hAnsi="Arial" w:cs="Arial"/>
          <w:i/>
          <w:lang w:val="ru-RU"/>
        </w:rPr>
        <w:t xml:space="preserve"> направлениям цифровой экономики - Интернет вещей, робототехника и искусственный интеллект, беспилотный транспорт - позволяют нам шире смотреть на задачи налогового стимулирования цифровых предпринимателей. Разрабатывая механизмы поддержки</w:t>
      </w:r>
      <w:r w:rsidR="00472674">
        <w:rPr>
          <w:rFonts w:ascii="Arial" w:hAnsi="Arial" w:cs="Arial"/>
          <w:i/>
          <w:lang w:val="ru-RU"/>
        </w:rPr>
        <w:t>,</w:t>
      </w:r>
      <w:r w:rsidR="00072F01" w:rsidRPr="00472674">
        <w:rPr>
          <w:rFonts w:ascii="Arial" w:hAnsi="Arial" w:cs="Arial"/>
          <w:i/>
          <w:lang w:val="ru-RU"/>
        </w:rPr>
        <w:t xml:space="preserve"> мы учитываем </w:t>
      </w:r>
      <w:r w:rsidR="00072F01" w:rsidRPr="00472674">
        <w:rPr>
          <w:rFonts w:ascii="Arial" w:hAnsi="Arial" w:cs="Arial"/>
          <w:i/>
          <w:lang w:val="ru-RU"/>
        </w:rPr>
        <w:lastRenderedPageBreak/>
        <w:t>лучшие международные практики и конкуренцию стран за привлечение налоговых платежей в условиях гл</w:t>
      </w:r>
      <w:r w:rsidRPr="00472674">
        <w:rPr>
          <w:rFonts w:ascii="Arial" w:hAnsi="Arial" w:cs="Arial"/>
          <w:i/>
          <w:lang w:val="ru-RU"/>
        </w:rPr>
        <w:t xml:space="preserve">обальной </w:t>
      </w:r>
      <w:proofErr w:type="spellStart"/>
      <w:r w:rsidRPr="00472674">
        <w:rPr>
          <w:rFonts w:ascii="Arial" w:hAnsi="Arial" w:cs="Arial"/>
          <w:i/>
          <w:lang w:val="ru-RU"/>
        </w:rPr>
        <w:t>цифр</w:t>
      </w:r>
      <w:bookmarkStart w:id="0" w:name="_GoBack"/>
      <w:bookmarkEnd w:id="0"/>
      <w:r w:rsidRPr="00472674">
        <w:rPr>
          <w:rFonts w:ascii="Arial" w:hAnsi="Arial" w:cs="Arial"/>
          <w:i/>
          <w:lang w:val="ru-RU"/>
        </w:rPr>
        <w:t>овизации</w:t>
      </w:r>
      <w:proofErr w:type="spellEnd"/>
      <w:r w:rsidRPr="00472674">
        <w:rPr>
          <w:rFonts w:ascii="Arial" w:hAnsi="Arial" w:cs="Arial"/>
          <w:i/>
          <w:lang w:val="ru-RU"/>
        </w:rPr>
        <w:t xml:space="preserve"> экономики</w:t>
      </w:r>
      <w:r w:rsidR="00072F01" w:rsidRPr="00472674">
        <w:rPr>
          <w:rFonts w:ascii="Arial" w:hAnsi="Arial" w:cs="Arial"/>
          <w:i/>
          <w:lang w:val="ru-RU"/>
        </w:rPr>
        <w:t>»</w:t>
      </w:r>
      <w:r w:rsidR="00472674">
        <w:rPr>
          <w:rFonts w:ascii="Arial" w:hAnsi="Arial" w:cs="Arial"/>
          <w:i/>
          <w:lang w:val="ru-RU"/>
        </w:rPr>
        <w:t>.</w:t>
      </w:r>
      <w:r w:rsidR="00653BA9" w:rsidRPr="00472674">
        <w:rPr>
          <w:rFonts w:ascii="MyriadPro-Regular" w:hAnsi="MyriadPro-Regular"/>
          <w:i/>
          <w:color w:val="FFFFFF"/>
          <w:lang w:val="x-none"/>
        </w:rPr>
        <w:t>¶</w:t>
      </w:r>
      <w:r w:rsidR="00653BA9">
        <w:rPr>
          <w:rFonts w:ascii="MyriadPro-Regular" w:hAnsi="MyriadPro-Regular"/>
          <w:color w:val="FFFFFF"/>
          <w:lang w:val="x-none"/>
        </w:rPr>
        <w:t>¾¶®º¶°, Dentons ° +¯+®¹º¶</w:t>
      </w:r>
    </w:p>
    <w:p w:rsidR="00CA05E4" w:rsidRPr="00CA05E4" w:rsidRDefault="00D05B5D" w:rsidP="00CA05E4">
      <w:pPr>
        <w:spacing w:after="120"/>
        <w:jc w:val="both"/>
        <w:rPr>
          <w:rFonts w:ascii="Arial" w:hAnsi="Arial" w:cs="Arial"/>
          <w:lang w:val="ru-RU"/>
        </w:rPr>
      </w:pPr>
      <w:r w:rsidRPr="00CA05E4">
        <w:rPr>
          <w:rFonts w:ascii="Arial" w:hAnsi="Arial" w:cs="Arial"/>
          <w:lang w:val="ru-RU"/>
        </w:rPr>
        <w:t>В налоговой и таможенной практике</w:t>
      </w:r>
      <w:r w:rsidR="00CA05E4" w:rsidRPr="00CA05E4">
        <w:rPr>
          <w:rFonts w:ascii="Arial" w:hAnsi="Arial" w:cs="Arial"/>
          <w:lang w:val="ru-RU"/>
        </w:rPr>
        <w:t xml:space="preserve"> </w:t>
      </w:r>
      <w:r w:rsidR="00CA05E4" w:rsidRPr="00CA05E4">
        <w:rPr>
          <w:rFonts w:ascii="Arial" w:hAnsi="Arial" w:cs="Arial"/>
        </w:rPr>
        <w:t>Dentons</w:t>
      </w:r>
      <w:r w:rsidR="00CA05E4">
        <w:rPr>
          <w:rFonts w:ascii="Arial" w:hAnsi="Arial" w:cs="Arial"/>
          <w:lang w:val="ru-RU"/>
        </w:rPr>
        <w:t xml:space="preserve">, признанной одной </w:t>
      </w:r>
      <w:r w:rsidR="00CA05E4" w:rsidRPr="00CA05E4">
        <w:rPr>
          <w:rFonts w:ascii="Arial" w:hAnsi="Arial" w:cs="Arial"/>
          <w:lang w:val="ru-RU"/>
        </w:rPr>
        <w:t xml:space="preserve">из лучших в России (входит в </w:t>
      </w:r>
      <w:r w:rsidR="00CA05E4" w:rsidRPr="00CA05E4">
        <w:rPr>
          <w:rFonts w:ascii="Arial" w:hAnsi="Arial" w:cs="Arial"/>
          <w:b/>
          <w:bCs/>
        </w:rPr>
        <w:t>Band</w:t>
      </w:r>
      <w:r w:rsidR="00CA05E4" w:rsidRPr="00CA05E4">
        <w:rPr>
          <w:rFonts w:ascii="Arial" w:hAnsi="Arial" w:cs="Arial"/>
          <w:b/>
          <w:bCs/>
          <w:lang w:val="ru-RU"/>
        </w:rPr>
        <w:t xml:space="preserve"> 1</w:t>
      </w:r>
      <w:r w:rsidR="00CA05E4" w:rsidRPr="00CA05E4">
        <w:rPr>
          <w:rFonts w:ascii="Arial" w:hAnsi="Arial" w:cs="Arial"/>
          <w:lang w:val="ru-RU"/>
        </w:rPr>
        <w:t xml:space="preserve"> рейтинга </w:t>
      </w:r>
      <w:r w:rsidR="00CA05E4" w:rsidRPr="00CA05E4">
        <w:rPr>
          <w:rFonts w:ascii="Arial" w:hAnsi="Arial" w:cs="Arial"/>
          <w:i/>
          <w:iCs/>
        </w:rPr>
        <w:t>Chambers</w:t>
      </w:r>
      <w:r w:rsidR="00CA05E4" w:rsidRPr="00CA05E4">
        <w:rPr>
          <w:rFonts w:ascii="Arial" w:hAnsi="Arial" w:cs="Arial"/>
          <w:i/>
          <w:iCs/>
          <w:lang w:val="ru-RU"/>
        </w:rPr>
        <w:t xml:space="preserve"> </w:t>
      </w:r>
      <w:r w:rsidR="00CA05E4" w:rsidRPr="00CA05E4">
        <w:rPr>
          <w:rFonts w:ascii="Arial" w:hAnsi="Arial" w:cs="Arial"/>
          <w:i/>
          <w:iCs/>
        </w:rPr>
        <w:t>Europe</w:t>
      </w:r>
      <w:r w:rsidR="00CA05E4" w:rsidRPr="00CA05E4">
        <w:rPr>
          <w:rFonts w:ascii="Arial" w:hAnsi="Arial" w:cs="Arial"/>
          <w:lang w:val="ru-RU"/>
        </w:rPr>
        <w:t xml:space="preserve"> 201</w:t>
      </w:r>
      <w:r w:rsidR="00653BA9" w:rsidRPr="00653BA9">
        <w:rPr>
          <w:rFonts w:ascii="Arial" w:hAnsi="Arial" w:cs="Arial"/>
          <w:lang w:val="ru-RU"/>
        </w:rPr>
        <w:t>8</w:t>
      </w:r>
      <w:r w:rsidR="00CA05E4" w:rsidRPr="00CA05E4">
        <w:rPr>
          <w:rFonts w:ascii="Arial" w:hAnsi="Arial" w:cs="Arial"/>
          <w:lang w:val="ru-RU"/>
        </w:rPr>
        <w:t>)</w:t>
      </w:r>
      <w:r w:rsidR="00CA05E4">
        <w:rPr>
          <w:rFonts w:ascii="Arial" w:hAnsi="Arial" w:cs="Arial"/>
          <w:lang w:val="ru-RU"/>
        </w:rPr>
        <w:t>,</w:t>
      </w:r>
      <w:r w:rsidRPr="00CA05E4">
        <w:rPr>
          <w:rFonts w:ascii="Arial" w:hAnsi="Arial" w:cs="Arial"/>
          <w:lang w:val="ru-RU"/>
        </w:rPr>
        <w:t xml:space="preserve"> работают </w:t>
      </w:r>
      <w:r w:rsidR="00FC42FD" w:rsidRPr="00CA05E4">
        <w:rPr>
          <w:rFonts w:ascii="Arial" w:hAnsi="Arial" w:cs="Arial"/>
          <w:b/>
          <w:bCs/>
          <w:lang w:val="ru-RU"/>
        </w:rPr>
        <w:t>3</w:t>
      </w:r>
      <w:r w:rsidR="00FD4981">
        <w:rPr>
          <w:rFonts w:ascii="Arial" w:hAnsi="Arial" w:cs="Arial"/>
          <w:b/>
          <w:bCs/>
          <w:lang w:val="ru-RU"/>
        </w:rPr>
        <w:t>4</w:t>
      </w:r>
      <w:r w:rsidR="00FC42FD" w:rsidRPr="00CA05E4">
        <w:rPr>
          <w:rFonts w:ascii="Arial" w:hAnsi="Arial" w:cs="Arial"/>
          <w:b/>
          <w:bCs/>
          <w:lang w:val="ru-RU"/>
        </w:rPr>
        <w:t xml:space="preserve"> </w:t>
      </w:r>
      <w:r w:rsidRPr="00CA05E4">
        <w:rPr>
          <w:rFonts w:ascii="Arial" w:hAnsi="Arial" w:cs="Arial"/>
          <w:b/>
          <w:bCs/>
          <w:lang w:val="ru-RU"/>
        </w:rPr>
        <w:t>специалист</w:t>
      </w:r>
      <w:r w:rsidR="00605CE5">
        <w:rPr>
          <w:rFonts w:ascii="Arial" w:hAnsi="Arial" w:cs="Arial"/>
          <w:b/>
          <w:bCs/>
          <w:lang w:val="ru-RU"/>
        </w:rPr>
        <w:t>а</w:t>
      </w:r>
      <w:r w:rsidRPr="00CA05E4">
        <w:rPr>
          <w:rFonts w:ascii="Arial" w:hAnsi="Arial" w:cs="Arial"/>
          <w:lang w:val="ru-RU"/>
        </w:rPr>
        <w:t xml:space="preserve">. </w:t>
      </w:r>
    </w:p>
    <w:p w:rsidR="00CA05E4" w:rsidRPr="00CA05E4" w:rsidRDefault="00CA05E4" w:rsidP="00CA05E4">
      <w:pPr>
        <w:spacing w:after="120"/>
        <w:jc w:val="both"/>
        <w:rPr>
          <w:rFonts w:ascii="Arial" w:hAnsi="Arial" w:cs="Arial"/>
          <w:lang w:val="ru-RU"/>
        </w:rPr>
      </w:pPr>
      <w:r w:rsidRPr="00CA05E4">
        <w:rPr>
          <w:rFonts w:ascii="Arial" w:hAnsi="Arial" w:cs="Arial"/>
          <w:lang w:val="ru-RU"/>
        </w:rPr>
        <w:t>У</w:t>
      </w:r>
      <w:r w:rsidR="007A1C7F" w:rsidRPr="007A1C7F">
        <w:rPr>
          <w:rFonts w:ascii="Arial" w:hAnsi="Arial" w:cs="Arial"/>
          <w:lang w:val="ru-RU"/>
        </w:rPr>
        <w:t xml:space="preserve"> </w:t>
      </w:r>
      <w:r w:rsidRPr="00CA05E4">
        <w:rPr>
          <w:rFonts w:ascii="Arial" w:hAnsi="Arial" w:cs="Arial"/>
          <w:lang w:val="ru-RU"/>
        </w:rPr>
        <w:t>практики</w:t>
      </w:r>
      <w:r>
        <w:rPr>
          <w:rFonts w:ascii="Arial" w:hAnsi="Arial" w:cs="Arial"/>
          <w:lang w:val="ru-RU"/>
        </w:rPr>
        <w:t xml:space="preserve"> </w:t>
      </w:r>
      <w:r w:rsidRPr="00CA05E4">
        <w:rPr>
          <w:rFonts w:ascii="Arial" w:hAnsi="Arial" w:cs="Arial"/>
          <w:lang w:val="ru-RU"/>
        </w:rPr>
        <w:t xml:space="preserve">есть все необходимые ресурсы, чтобы оказывать клиентам полный спектр </w:t>
      </w:r>
      <w:r w:rsidRPr="00CA05E4">
        <w:rPr>
          <w:rFonts w:ascii="Arial" w:hAnsi="Arial" w:cs="Arial"/>
          <w:b/>
          <w:bCs/>
          <w:lang w:val="ru-RU"/>
        </w:rPr>
        <w:t xml:space="preserve">налоговых и юридических услуг, </w:t>
      </w:r>
      <w:r w:rsidRPr="00CA05E4">
        <w:rPr>
          <w:rFonts w:ascii="Arial" w:hAnsi="Arial" w:cs="Arial"/>
          <w:lang w:val="ru-RU"/>
        </w:rPr>
        <w:t xml:space="preserve">включая консультирование по вопросам международного налогообложения, российского налогообложения и деофшоризации; консультирование </w:t>
      </w:r>
      <w:r w:rsidRPr="00CA05E4">
        <w:rPr>
          <w:rFonts w:ascii="Arial" w:hAnsi="Arial" w:cs="Arial"/>
          <w:color w:val="000000"/>
          <w:lang w:val="ru-RU"/>
        </w:rPr>
        <w:t xml:space="preserve">по налоговым льготам и другим формам государственной поддержки; </w:t>
      </w:r>
      <w:r w:rsidRPr="00CA05E4">
        <w:rPr>
          <w:rFonts w:ascii="Arial" w:hAnsi="Arial" w:cs="Arial"/>
          <w:lang w:val="ru-RU"/>
        </w:rPr>
        <w:t xml:space="preserve">анализ условий договоров с точки зрения налогообложения; налоговую реструктуризацию; налоговый </w:t>
      </w:r>
      <w:r w:rsidRPr="00CA05E4">
        <w:rPr>
          <w:rFonts w:ascii="Arial" w:hAnsi="Arial" w:cs="Arial"/>
        </w:rPr>
        <w:t>due</w:t>
      </w:r>
      <w:r w:rsidRPr="00CA05E4">
        <w:rPr>
          <w:rFonts w:ascii="Arial" w:hAnsi="Arial" w:cs="Arial"/>
          <w:lang w:val="ru-RU"/>
        </w:rPr>
        <w:t xml:space="preserve"> </w:t>
      </w:r>
      <w:r w:rsidRPr="00CA05E4">
        <w:rPr>
          <w:rFonts w:ascii="Arial" w:hAnsi="Arial" w:cs="Arial"/>
        </w:rPr>
        <w:t>diligence</w:t>
      </w:r>
      <w:r w:rsidRPr="00CA05E4">
        <w:rPr>
          <w:rFonts w:ascii="Arial" w:hAnsi="Arial" w:cs="Arial"/>
          <w:lang w:val="ru-RU"/>
        </w:rPr>
        <w:t xml:space="preserve">/ самостоятельные проверки налоговых рисков; налоговое сопровождение сделок </w:t>
      </w:r>
      <w:r w:rsidRPr="00CA05E4">
        <w:rPr>
          <w:rFonts w:ascii="Arial" w:hAnsi="Arial" w:cs="Arial"/>
        </w:rPr>
        <w:t>M</w:t>
      </w:r>
      <w:r w:rsidRPr="00CA05E4">
        <w:rPr>
          <w:rFonts w:ascii="Arial" w:hAnsi="Arial" w:cs="Arial"/>
          <w:lang w:val="ru-RU"/>
        </w:rPr>
        <w:t>&amp;</w:t>
      </w:r>
      <w:r w:rsidRPr="00CA05E4">
        <w:rPr>
          <w:rFonts w:ascii="Arial" w:hAnsi="Arial" w:cs="Arial"/>
        </w:rPr>
        <w:t>A</w:t>
      </w:r>
      <w:r w:rsidRPr="00CA05E4">
        <w:rPr>
          <w:rFonts w:ascii="Arial" w:hAnsi="Arial" w:cs="Arial"/>
          <w:lang w:val="ru-RU"/>
        </w:rPr>
        <w:t xml:space="preserve">; разрешение налоговых споров; консультирование по вопросам российского бухгалтерского учета; участие в законотворческой деятельности, трансфертного ценообразования, индивидуального налогового планирования и </w:t>
      </w:r>
      <w:proofErr w:type="spellStart"/>
      <w:r w:rsidRPr="00CA05E4">
        <w:rPr>
          <w:rFonts w:ascii="Arial" w:hAnsi="Arial" w:cs="Arial"/>
          <w:lang w:val="ru-RU"/>
        </w:rPr>
        <w:t>комплаенс</w:t>
      </w:r>
      <w:proofErr w:type="spellEnd"/>
      <w:r w:rsidRPr="00CA05E4">
        <w:rPr>
          <w:rFonts w:ascii="Arial" w:hAnsi="Arial" w:cs="Arial"/>
          <w:lang w:val="ru-RU"/>
        </w:rPr>
        <w:t xml:space="preserve">, управления налоговыми рисками, налогообложения  недвижимости; сопровождение сделок с нематериальными активами. Команда также оказывает все виды </w:t>
      </w:r>
      <w:r w:rsidRPr="00CA05E4">
        <w:rPr>
          <w:rFonts w:ascii="Arial" w:hAnsi="Arial" w:cs="Arial"/>
          <w:b/>
          <w:bCs/>
          <w:lang w:val="ru-RU"/>
        </w:rPr>
        <w:t>услуг в области таможенного права</w:t>
      </w:r>
      <w:r w:rsidRPr="00CA05E4">
        <w:rPr>
          <w:rFonts w:ascii="Arial" w:hAnsi="Arial" w:cs="Arial"/>
          <w:lang w:val="ru-RU"/>
        </w:rPr>
        <w:t>, в том числе осуществляет проверку соответствия внешнеэкономической деятельности компаний требованиям таможенного законодательства (</w:t>
      </w:r>
      <w:proofErr w:type="spellStart"/>
      <w:r w:rsidRPr="00CA05E4">
        <w:rPr>
          <w:rFonts w:ascii="Arial" w:hAnsi="Arial" w:cs="Arial"/>
          <w:lang w:val="ru-RU"/>
        </w:rPr>
        <w:t>customs</w:t>
      </w:r>
      <w:proofErr w:type="spellEnd"/>
      <w:r w:rsidRPr="00CA05E4">
        <w:rPr>
          <w:rFonts w:ascii="Arial" w:hAnsi="Arial" w:cs="Arial"/>
          <w:lang w:val="ru-RU"/>
        </w:rPr>
        <w:t xml:space="preserve"> </w:t>
      </w:r>
      <w:proofErr w:type="spellStart"/>
      <w:r w:rsidRPr="00CA05E4">
        <w:rPr>
          <w:rFonts w:ascii="Arial" w:hAnsi="Arial" w:cs="Arial"/>
          <w:lang w:val="ru-RU"/>
        </w:rPr>
        <w:t>compliance</w:t>
      </w:r>
      <w:proofErr w:type="spellEnd"/>
      <w:r w:rsidRPr="00CA05E4">
        <w:rPr>
          <w:rFonts w:ascii="Arial" w:hAnsi="Arial" w:cs="Arial"/>
          <w:lang w:val="ru-RU"/>
        </w:rPr>
        <w:t>, «</w:t>
      </w:r>
      <w:proofErr w:type="spellStart"/>
      <w:r w:rsidRPr="00CA05E4">
        <w:rPr>
          <w:rFonts w:ascii="Arial" w:hAnsi="Arial" w:cs="Arial"/>
          <w:lang w:val="ru-RU"/>
        </w:rPr>
        <w:t>health</w:t>
      </w:r>
      <w:proofErr w:type="spellEnd"/>
      <w:r w:rsidRPr="00CA05E4">
        <w:rPr>
          <w:rFonts w:ascii="Arial" w:hAnsi="Arial" w:cs="Arial"/>
          <w:lang w:val="ru-RU"/>
        </w:rPr>
        <w:t xml:space="preserve"> </w:t>
      </w:r>
      <w:proofErr w:type="spellStart"/>
      <w:r w:rsidRPr="00CA05E4">
        <w:rPr>
          <w:rFonts w:ascii="Arial" w:hAnsi="Arial" w:cs="Arial"/>
          <w:lang w:val="ru-RU"/>
        </w:rPr>
        <w:t>check</w:t>
      </w:r>
      <w:proofErr w:type="spellEnd"/>
      <w:r w:rsidRPr="00CA05E4">
        <w:rPr>
          <w:rFonts w:ascii="Arial" w:hAnsi="Arial" w:cs="Arial"/>
          <w:lang w:val="ru-RU"/>
        </w:rPr>
        <w:t>»); структурирование цепей поставок и моделей ввоза товаров с дальнейшей имплементацией разработанных структур поставок; обеспечение соответствия процесса декларирования общим требованиям таможенного законодательства; консультирование на предмет правильности определения таможенной стоимости; консультирование по вопросам классификации ввозимых товаров и другие.</w:t>
      </w:r>
    </w:p>
    <w:p w:rsidR="00CA05E4" w:rsidRPr="00CA05E4" w:rsidRDefault="00CA05E4" w:rsidP="00CA05E4">
      <w:pPr>
        <w:pStyle w:val="BodyText"/>
        <w:spacing w:after="120"/>
        <w:jc w:val="both"/>
        <w:rPr>
          <w:rFonts w:cs="Arial"/>
          <w:lang w:val="ru-RU"/>
        </w:rPr>
      </w:pPr>
      <w:r w:rsidRPr="00CA05E4">
        <w:rPr>
          <w:rFonts w:cs="Arial"/>
          <w:b/>
          <w:bCs/>
          <w:lang w:val="ru-RU"/>
        </w:rPr>
        <w:t xml:space="preserve">О </w:t>
      </w:r>
      <w:r w:rsidRPr="00CA05E4">
        <w:rPr>
          <w:rFonts w:cs="Arial"/>
          <w:b/>
          <w:bCs/>
        </w:rPr>
        <w:t>Dentons</w:t>
      </w:r>
    </w:p>
    <w:p w:rsidR="00CA05E4" w:rsidRDefault="00CA05E4" w:rsidP="00CA05E4">
      <w:pPr>
        <w:jc w:val="both"/>
        <w:rPr>
          <w:lang w:val="ru-RU"/>
        </w:rPr>
      </w:pPr>
      <w:r>
        <w:rPr>
          <w:rFonts w:ascii="Arial" w:hAnsi="Arial" w:cs="Arial"/>
        </w:rPr>
        <w:t>Dentons</w:t>
      </w:r>
      <w:r>
        <w:rPr>
          <w:rFonts w:ascii="Arial" w:hAnsi="Arial" w:cs="Arial"/>
          <w:lang w:val="ru-RU"/>
        </w:rPr>
        <w:t xml:space="preserve"> – крупнейшая в мире юридическая фирма*, предоставляющая полный спектр юридических услуг. </w:t>
      </w:r>
      <w:r>
        <w:rPr>
          <w:rFonts w:ascii="Arial" w:hAnsi="Arial" w:cs="Arial"/>
        </w:rPr>
        <w:t>Dentons</w:t>
      </w:r>
      <w:r>
        <w:rPr>
          <w:rFonts w:ascii="Arial" w:hAnsi="Arial" w:cs="Arial"/>
          <w:lang w:val="ru-RU"/>
        </w:rPr>
        <w:t xml:space="preserve"> входит в число лидеров рейтинга ведущих юридических брендов мира, составленный </w:t>
      </w:r>
      <w:proofErr w:type="spellStart"/>
      <w:r>
        <w:rPr>
          <w:rFonts w:ascii="Arial" w:hAnsi="Arial" w:cs="Arial"/>
        </w:rPr>
        <w:t>Acritas</w:t>
      </w:r>
      <w:proofErr w:type="spellEnd"/>
      <w:r>
        <w:rPr>
          <w:rFonts w:ascii="Arial" w:hAnsi="Arial" w:cs="Arial"/>
          <w:lang w:val="ru-RU"/>
        </w:rPr>
        <w:t xml:space="preserve">, получила награду </w:t>
      </w:r>
      <w:r>
        <w:rPr>
          <w:rFonts w:ascii="Arial" w:hAnsi="Arial" w:cs="Arial"/>
        </w:rPr>
        <w:t>BTI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Client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Service</w:t>
      </w:r>
      <w:r>
        <w:rPr>
          <w:rFonts w:ascii="Arial" w:hAnsi="Arial" w:cs="Arial"/>
          <w:lang w:val="ru-RU"/>
        </w:rPr>
        <w:t xml:space="preserve"> 30 </w:t>
      </w:r>
      <w:r>
        <w:rPr>
          <w:rFonts w:ascii="Arial" w:hAnsi="Arial" w:cs="Arial"/>
        </w:rPr>
        <w:t>Award</w:t>
      </w:r>
      <w:r>
        <w:rPr>
          <w:rFonts w:ascii="Arial" w:hAnsi="Arial" w:cs="Arial"/>
          <w:lang w:val="ru-RU"/>
        </w:rPr>
        <w:t xml:space="preserve">, а также – высокую оценку деловых и юридических изданий за инновации, включая создание </w:t>
      </w:r>
      <w:proofErr w:type="spellStart"/>
      <w:r>
        <w:rPr>
          <w:rFonts w:ascii="Arial" w:hAnsi="Arial" w:cs="Arial"/>
        </w:rPr>
        <w:t>Nextlaw</w:t>
      </w:r>
      <w:proofErr w:type="spellEnd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Labs</w:t>
      </w:r>
      <w:r>
        <w:rPr>
          <w:rFonts w:ascii="Arial" w:hAnsi="Arial" w:cs="Arial"/>
          <w:lang w:val="ru-RU"/>
        </w:rPr>
        <w:t xml:space="preserve"> и </w:t>
      </w:r>
      <w:proofErr w:type="spellStart"/>
      <w:r>
        <w:rPr>
          <w:rFonts w:ascii="Arial" w:hAnsi="Arial" w:cs="Arial"/>
        </w:rPr>
        <w:t>Nextlaw</w:t>
      </w:r>
      <w:proofErr w:type="spellEnd"/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Global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Referral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Network</w:t>
      </w:r>
      <w:r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</w:rPr>
        <w:t>Dentons</w:t>
      </w:r>
      <w:r>
        <w:rPr>
          <w:rFonts w:ascii="Arial" w:hAnsi="Arial" w:cs="Arial"/>
          <w:lang w:val="ru-RU"/>
        </w:rPr>
        <w:t xml:space="preserve"> предоставляет юридические услуги российским и иностранным компаниям, банкам и другим финансовым институтам, фондам прямых инвестиций, государственным предприятиям и некоммерческим организациям.</w:t>
      </w:r>
      <w:r>
        <w:rPr>
          <w:rFonts w:ascii="Arial" w:hAnsi="Arial" w:cs="Arial"/>
        </w:rPr>
        <w:t> </w:t>
      </w:r>
      <w:hyperlink r:id="rId10" w:history="1">
        <w:r>
          <w:rPr>
            <w:rStyle w:val="Hyperlink"/>
            <w:rFonts w:ascii="Arial" w:hAnsi="Arial" w:cs="Arial"/>
          </w:rPr>
          <w:t>www</w:t>
        </w:r>
        <w:r>
          <w:rPr>
            <w:rStyle w:val="Hyperlink"/>
            <w:rFonts w:ascii="Arial" w:hAnsi="Arial" w:cs="Arial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</w:rPr>
          <w:t>dentons</w:t>
        </w:r>
        <w:proofErr w:type="spellEnd"/>
        <w:r>
          <w:rPr>
            <w:rStyle w:val="Hyperlink"/>
            <w:rFonts w:ascii="Arial" w:hAnsi="Arial" w:cs="Arial"/>
            <w:lang w:val="ru-RU"/>
          </w:rPr>
          <w:t>.</w:t>
        </w:r>
        <w:r>
          <w:rPr>
            <w:rStyle w:val="Hyperlink"/>
            <w:rFonts w:ascii="Arial" w:hAnsi="Arial" w:cs="Arial"/>
          </w:rPr>
          <w:t>com</w:t>
        </w:r>
      </w:hyperlink>
    </w:p>
    <w:p w:rsidR="00CA05E4" w:rsidRPr="006F275A" w:rsidRDefault="00CA05E4" w:rsidP="00CA05E4">
      <w:pPr>
        <w:tabs>
          <w:tab w:val="left" w:pos="1032"/>
        </w:tabs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ab/>
      </w:r>
    </w:p>
    <w:p w:rsidR="00CA05E4" w:rsidRPr="00CA05E4" w:rsidRDefault="00CA05E4" w:rsidP="00CA05E4">
      <w:pPr>
        <w:jc w:val="both"/>
        <w:rPr>
          <w:rFonts w:ascii="Arial" w:hAnsi="Arial" w:cs="Arial"/>
          <w:i/>
          <w:color w:val="000000"/>
          <w:sz w:val="18"/>
          <w:szCs w:val="18"/>
          <w:lang w:val="ru-RU"/>
        </w:rPr>
      </w:pPr>
      <w:r w:rsidRPr="00CA05E4">
        <w:rPr>
          <w:rFonts w:ascii="Arial" w:hAnsi="Arial" w:cs="Arial"/>
          <w:i/>
          <w:color w:val="000000"/>
          <w:sz w:val="18"/>
          <w:szCs w:val="18"/>
          <w:lang w:val="ru-RU"/>
        </w:rPr>
        <w:t xml:space="preserve">* </w:t>
      </w:r>
      <w:proofErr w:type="spellStart"/>
      <w:r w:rsidRPr="00CA05E4">
        <w:rPr>
          <w:rFonts w:ascii="Arial" w:hAnsi="Arial" w:cs="Arial"/>
          <w:i/>
          <w:color w:val="000000"/>
          <w:sz w:val="18"/>
          <w:szCs w:val="18"/>
          <w:lang w:val="ru-RU"/>
        </w:rPr>
        <w:t>The</w:t>
      </w:r>
      <w:proofErr w:type="spellEnd"/>
      <w:r w:rsidRPr="00CA05E4">
        <w:rPr>
          <w:rFonts w:ascii="Arial" w:hAnsi="Arial" w:cs="Arial"/>
          <w:i/>
          <w:color w:val="000000"/>
          <w:sz w:val="18"/>
          <w:szCs w:val="18"/>
          <w:lang w:val="ru-RU"/>
        </w:rPr>
        <w:t xml:space="preserve"> </w:t>
      </w:r>
      <w:proofErr w:type="spellStart"/>
      <w:r w:rsidRPr="00CA05E4">
        <w:rPr>
          <w:rFonts w:ascii="Arial" w:hAnsi="Arial" w:cs="Arial"/>
          <w:i/>
          <w:color w:val="000000"/>
          <w:sz w:val="18"/>
          <w:szCs w:val="18"/>
          <w:lang w:val="ru-RU"/>
        </w:rPr>
        <w:t>American</w:t>
      </w:r>
      <w:proofErr w:type="spellEnd"/>
      <w:r w:rsidRPr="00CA05E4">
        <w:rPr>
          <w:rFonts w:ascii="Arial" w:hAnsi="Arial" w:cs="Arial"/>
          <w:i/>
          <w:color w:val="000000"/>
          <w:sz w:val="18"/>
          <w:szCs w:val="18"/>
          <w:lang w:val="ru-RU"/>
        </w:rPr>
        <w:t xml:space="preserve"> </w:t>
      </w:r>
      <w:proofErr w:type="spellStart"/>
      <w:r w:rsidRPr="00CA05E4">
        <w:rPr>
          <w:rFonts w:ascii="Arial" w:hAnsi="Arial" w:cs="Arial"/>
          <w:i/>
          <w:color w:val="000000"/>
          <w:sz w:val="18"/>
          <w:szCs w:val="18"/>
          <w:lang w:val="ru-RU"/>
        </w:rPr>
        <w:t>Lawyer</w:t>
      </w:r>
      <w:proofErr w:type="spellEnd"/>
      <w:r w:rsidR="00653BA9" w:rsidRPr="00653BA9">
        <w:rPr>
          <w:rFonts w:ascii="Arial" w:hAnsi="Arial" w:cs="Arial"/>
          <w:i/>
          <w:color w:val="000000"/>
          <w:sz w:val="18"/>
          <w:szCs w:val="18"/>
          <w:lang w:val="ru-RU"/>
        </w:rPr>
        <w:t xml:space="preserve"> </w:t>
      </w:r>
      <w:r w:rsidR="00653BA9" w:rsidRPr="00653BA9">
        <w:rPr>
          <w:rFonts w:ascii="Arial" w:hAnsi="Arial" w:cs="Arial"/>
          <w:color w:val="000000"/>
          <w:sz w:val="18"/>
          <w:szCs w:val="18"/>
          <w:lang w:val="ru-RU"/>
        </w:rPr>
        <w:t>2017</w:t>
      </w:r>
      <w:r w:rsidRPr="00CA05E4">
        <w:rPr>
          <w:rFonts w:ascii="Arial" w:hAnsi="Arial" w:cs="Arial"/>
          <w:i/>
          <w:color w:val="000000"/>
          <w:sz w:val="18"/>
          <w:szCs w:val="18"/>
          <w:lang w:val="ru-RU"/>
        </w:rPr>
        <w:t xml:space="preserve"> – Рейтинг 100 международных юридических фирм по количеству юристов.</w:t>
      </w:r>
    </w:p>
    <w:p w:rsidR="007F56B8" w:rsidRPr="00EE0330" w:rsidRDefault="007F56B8" w:rsidP="00CA05E4">
      <w:pPr>
        <w:spacing w:after="120"/>
        <w:jc w:val="both"/>
        <w:rPr>
          <w:rFonts w:ascii="Arial" w:hAnsi="Arial" w:cs="Arial"/>
          <w:sz w:val="20"/>
          <w:szCs w:val="20"/>
          <w:lang w:val="ru-RU"/>
        </w:rPr>
      </w:pPr>
    </w:p>
    <w:sectPr w:rsidR="007F56B8" w:rsidRPr="00EE0330" w:rsidSect="00072F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70" w:rsidRDefault="00A92E70" w:rsidP="00D42355">
      <w:r>
        <w:separator/>
      </w:r>
    </w:p>
  </w:endnote>
  <w:endnote w:type="continuationSeparator" w:id="0">
    <w:p w:rsidR="00A92E70" w:rsidRDefault="00A92E70" w:rsidP="00D4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20B05030304030202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35" w:rsidRDefault="003E33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55" w:rsidRDefault="00D42355">
    <w:pPr>
      <w:pStyle w:val="Footer"/>
    </w:pPr>
  </w:p>
  <w:p w:rsidR="00D42355" w:rsidRPr="00B63BE5" w:rsidRDefault="00D42355">
    <w:pPr>
      <w:pStyle w:val="Footer"/>
      <w:rPr>
        <w:color w:val="FFFFFF" w:themeColor="background1"/>
      </w:rPr>
    </w:pPr>
    <w:r w:rsidRPr="00B63BE5">
      <w:rPr>
        <w:color w:val="FFFFFF" w:themeColor="background1"/>
      </w:rPr>
      <w:fldChar w:fldCharType="begin"/>
    </w:r>
    <w:r w:rsidRPr="00B63BE5">
      <w:rPr>
        <w:rFonts w:ascii="Verdana" w:hAnsi="Verdana"/>
        <w:color w:val="FFFFFF" w:themeColor="background1"/>
        <w:sz w:val="16"/>
      </w:rPr>
      <w:instrText xml:space="preserve"> DOCPROPERTY ImanageFooterVariable </w:instrText>
    </w:r>
    <w:r w:rsidRPr="00B63BE5">
      <w:rPr>
        <w:color w:val="FFFFFF" w:themeColor="background1"/>
      </w:rPr>
      <w:fldChar w:fldCharType="separate"/>
    </w:r>
    <w:r w:rsidR="00072F01">
      <w:rPr>
        <w:rFonts w:ascii="Verdana" w:hAnsi="Verdana"/>
        <w:color w:val="FFFFFF" w:themeColor="background1"/>
        <w:sz w:val="16"/>
      </w:rPr>
      <w:t>Moscow 5435862.1</w:t>
    </w:r>
    <w:r w:rsidRPr="00B63BE5">
      <w:rPr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35" w:rsidRDefault="003E3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70" w:rsidRDefault="00A92E70" w:rsidP="00D42355">
      <w:r>
        <w:separator/>
      </w:r>
    </w:p>
  </w:footnote>
  <w:footnote w:type="continuationSeparator" w:id="0">
    <w:p w:rsidR="00A92E70" w:rsidRDefault="00A92E70" w:rsidP="00D42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35" w:rsidRDefault="003E3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35" w:rsidRDefault="003E33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335" w:rsidRDefault="003E33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0EC0"/>
    <w:multiLevelType w:val="hybridMultilevel"/>
    <w:tmpl w:val="F8A0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66851"/>
    <w:multiLevelType w:val="hybridMultilevel"/>
    <w:tmpl w:val="825C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ей Соколов">
    <w15:presenceInfo w15:providerId="Windows Live" w15:userId="fdade6a59ff1a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30"/>
    <w:rsid w:val="0001634F"/>
    <w:rsid w:val="00020230"/>
    <w:rsid w:val="00024C22"/>
    <w:rsid w:val="00052E68"/>
    <w:rsid w:val="00072F01"/>
    <w:rsid w:val="000A37F8"/>
    <w:rsid w:val="000C67FF"/>
    <w:rsid w:val="000F0B5A"/>
    <w:rsid w:val="000F1116"/>
    <w:rsid w:val="00161FEE"/>
    <w:rsid w:val="00225A8D"/>
    <w:rsid w:val="00260469"/>
    <w:rsid w:val="00291160"/>
    <w:rsid w:val="002917F9"/>
    <w:rsid w:val="002A2209"/>
    <w:rsid w:val="002D5491"/>
    <w:rsid w:val="002F2CF6"/>
    <w:rsid w:val="002F6B5F"/>
    <w:rsid w:val="003A1794"/>
    <w:rsid w:val="003D4881"/>
    <w:rsid w:val="003E3335"/>
    <w:rsid w:val="00472674"/>
    <w:rsid w:val="00493544"/>
    <w:rsid w:val="00494510"/>
    <w:rsid w:val="004D16A2"/>
    <w:rsid w:val="004D5FCF"/>
    <w:rsid w:val="004D77C3"/>
    <w:rsid w:val="00596E25"/>
    <w:rsid w:val="005B7D25"/>
    <w:rsid w:val="005E215B"/>
    <w:rsid w:val="00605CE5"/>
    <w:rsid w:val="006442AF"/>
    <w:rsid w:val="00646B4C"/>
    <w:rsid w:val="00653BA9"/>
    <w:rsid w:val="0066312F"/>
    <w:rsid w:val="00664528"/>
    <w:rsid w:val="006C47DA"/>
    <w:rsid w:val="006C558E"/>
    <w:rsid w:val="006F3F12"/>
    <w:rsid w:val="007571B7"/>
    <w:rsid w:val="007A1C7F"/>
    <w:rsid w:val="007C2C5C"/>
    <w:rsid w:val="007E3D76"/>
    <w:rsid w:val="007F40DD"/>
    <w:rsid w:val="007F56B8"/>
    <w:rsid w:val="0083153F"/>
    <w:rsid w:val="008D44C3"/>
    <w:rsid w:val="008F10AC"/>
    <w:rsid w:val="0090728B"/>
    <w:rsid w:val="00927E5E"/>
    <w:rsid w:val="00997E81"/>
    <w:rsid w:val="009D1E5C"/>
    <w:rsid w:val="009D451D"/>
    <w:rsid w:val="00A54081"/>
    <w:rsid w:val="00A7013E"/>
    <w:rsid w:val="00A76255"/>
    <w:rsid w:val="00A92E70"/>
    <w:rsid w:val="00AC7599"/>
    <w:rsid w:val="00AD6976"/>
    <w:rsid w:val="00AE1A11"/>
    <w:rsid w:val="00B63BE5"/>
    <w:rsid w:val="00B64F31"/>
    <w:rsid w:val="00B81796"/>
    <w:rsid w:val="00C23ADE"/>
    <w:rsid w:val="00CA05E4"/>
    <w:rsid w:val="00CB3791"/>
    <w:rsid w:val="00CE578B"/>
    <w:rsid w:val="00D05B5D"/>
    <w:rsid w:val="00D1379D"/>
    <w:rsid w:val="00D31EFA"/>
    <w:rsid w:val="00D42355"/>
    <w:rsid w:val="00D5309C"/>
    <w:rsid w:val="00D73800"/>
    <w:rsid w:val="00D94451"/>
    <w:rsid w:val="00DA73E8"/>
    <w:rsid w:val="00DE0768"/>
    <w:rsid w:val="00E40E2F"/>
    <w:rsid w:val="00E5121B"/>
    <w:rsid w:val="00EE0330"/>
    <w:rsid w:val="00EF7ECD"/>
    <w:rsid w:val="00F265D5"/>
    <w:rsid w:val="00FC42FD"/>
    <w:rsid w:val="00FD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D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35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35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55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D42355"/>
    <w:pPr>
      <w:spacing w:after="240" w:line="276" w:lineRule="auto"/>
    </w:pPr>
    <w:rPr>
      <w:rFonts w:ascii="Arial" w:eastAsia="Times New Roman" w:hAnsi="Arial" w:cs="Arabic Transparent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42355"/>
    <w:rPr>
      <w:rFonts w:ascii="Arial" w:eastAsia="Times New Roman" w:hAnsi="Arial" w:cs="Arabic Transparent"/>
      <w:sz w:val="20"/>
      <w:szCs w:val="24"/>
      <w:lang w:val="en-GB"/>
    </w:rPr>
  </w:style>
  <w:style w:type="character" w:styleId="Hyperlink">
    <w:name w:val="Hyperlink"/>
    <w:uiPriority w:val="99"/>
    <w:rsid w:val="00D423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3B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26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-articleintro1">
    <w:name w:val="b-article__intro1"/>
    <w:basedOn w:val="DefaultParagraphFont"/>
    <w:rsid w:val="005E215B"/>
    <w:rPr>
      <w:rFonts w:ascii="Arial" w:hAnsi="Arial" w:cs="Arial" w:hint="default"/>
      <w:b/>
      <w:bCs/>
      <w:color w:val="333333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997E81"/>
    <w:rPr>
      <w:b/>
      <w:bCs/>
      <w:i w:val="0"/>
      <w:iCs w:val="0"/>
    </w:rPr>
  </w:style>
  <w:style w:type="character" w:customStyle="1" w:styleId="st1">
    <w:name w:val="st1"/>
    <w:basedOn w:val="DefaultParagraphFont"/>
    <w:rsid w:val="00997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D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35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235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55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D42355"/>
    <w:pPr>
      <w:spacing w:after="240" w:line="276" w:lineRule="auto"/>
    </w:pPr>
    <w:rPr>
      <w:rFonts w:ascii="Arial" w:eastAsia="Times New Roman" w:hAnsi="Arial" w:cs="Arabic Transparent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D42355"/>
    <w:rPr>
      <w:rFonts w:ascii="Arial" w:eastAsia="Times New Roman" w:hAnsi="Arial" w:cs="Arabic Transparent"/>
      <w:sz w:val="20"/>
      <w:szCs w:val="24"/>
      <w:lang w:val="en-GB"/>
    </w:rPr>
  </w:style>
  <w:style w:type="character" w:styleId="Hyperlink">
    <w:name w:val="Hyperlink"/>
    <w:uiPriority w:val="99"/>
    <w:rsid w:val="00D423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3B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26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-articleintro1">
    <w:name w:val="b-article__intro1"/>
    <w:basedOn w:val="DefaultParagraphFont"/>
    <w:rsid w:val="005E215B"/>
    <w:rPr>
      <w:rFonts w:ascii="Arial" w:hAnsi="Arial" w:cs="Arial" w:hint="default"/>
      <w:b/>
      <w:bCs/>
      <w:color w:val="333333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997E81"/>
    <w:rPr>
      <w:b/>
      <w:bCs/>
      <w:i w:val="0"/>
      <w:iCs w:val="0"/>
    </w:rPr>
  </w:style>
  <w:style w:type="character" w:customStyle="1" w:styleId="st1">
    <w:name w:val="st1"/>
    <w:basedOn w:val="DefaultParagraphFont"/>
    <w:rsid w:val="00997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entons.com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03B6-DB97-4E57-ADC0-5CE5A7DB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4338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5088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Kochetkova</cp:lastModifiedBy>
  <cp:revision>2</cp:revision>
  <dcterms:created xsi:type="dcterms:W3CDTF">2018-03-23T13:11:00Z</dcterms:created>
  <dcterms:modified xsi:type="dcterms:W3CDTF">2018-03-23T13:11:00Z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Moscow 5435862.1</vt:lpwstr>
  </property>
</Properties>
</file>