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A34D6F">
          <w:pPr>
            <w:rPr>
              <w:lang w:val="en-GB"/>
            </w:rPr>
          </w:pPr>
        </w:p>
      </w:sdtContent>
    </w:sdt>
    <w:p w14:paraId="50E41ED5" w14:textId="77777777" w:rsidR="00C17E1F" w:rsidRPr="00C17E1F" w:rsidRDefault="00C17E1F" w:rsidP="00C17E1F">
      <w:pPr>
        <w:pStyle w:val="11"/>
        <w:rPr>
          <w:b/>
          <w:sz w:val="28"/>
          <w:szCs w:val="28"/>
        </w:rPr>
      </w:pPr>
      <w:r w:rsidRPr="00C17E1F">
        <w:rPr>
          <w:b/>
          <w:sz w:val="28"/>
          <w:szCs w:val="28"/>
        </w:rPr>
        <w:t>В ЖК «</w:t>
      </w:r>
      <w:proofErr w:type="spellStart"/>
      <w:r w:rsidRPr="00C17E1F">
        <w:rPr>
          <w:b/>
          <w:sz w:val="28"/>
          <w:szCs w:val="28"/>
        </w:rPr>
        <w:t>Балтым</w:t>
      </w:r>
      <w:proofErr w:type="spellEnd"/>
      <w:r w:rsidRPr="00C17E1F">
        <w:rPr>
          <w:b/>
          <w:sz w:val="28"/>
          <w:szCs w:val="28"/>
        </w:rPr>
        <w:t>-Парк» введен в эксплуатацию первый жилой дом</w:t>
      </w:r>
    </w:p>
    <w:p w14:paraId="5A7FC4FE" w14:textId="462AE360" w:rsidR="00C17E1F" w:rsidRPr="00B60150" w:rsidRDefault="00C17E1F" w:rsidP="00C17E1F">
      <w:pPr>
        <w:pStyle w:val="11"/>
      </w:pPr>
      <w:r w:rsidRPr="00B60150">
        <w:t xml:space="preserve">ЮИТ </w:t>
      </w:r>
      <w:proofErr w:type="spellStart"/>
      <w:r w:rsidRPr="00B60150">
        <w:t>Уралстрой</w:t>
      </w:r>
      <w:proofErr w:type="spellEnd"/>
      <w:r w:rsidRPr="00B60150">
        <w:t>, дочерняя компания финского строительного концерна ЮИТ, получила разрешение на ввод в эксплуатацию первого жилого дома в составе масштабного комплекса «</w:t>
      </w:r>
      <w:proofErr w:type="spellStart"/>
      <w:r w:rsidRPr="00B60150">
        <w:t>Балтым</w:t>
      </w:r>
      <w:proofErr w:type="spellEnd"/>
      <w:r w:rsidRPr="00B60150">
        <w:t xml:space="preserve">-Парк» в городском округе Верхняя Пышма в пригороде Екатеринбурга. </w:t>
      </w:r>
      <w:r w:rsidR="00146FC3">
        <w:t>Дом уже получил почтовый адрес – ул. Васильковая, д. 2</w:t>
      </w:r>
      <w:r w:rsidR="00DD6158">
        <w:t>. Передача квартир собственникам нача</w:t>
      </w:r>
      <w:r w:rsidR="004F471A">
        <w:t>лась</w:t>
      </w:r>
      <w:r w:rsidR="00DD6158">
        <w:t>.</w:t>
      </w:r>
      <w:r w:rsidRPr="00B60150">
        <w:t xml:space="preserve">  </w:t>
      </w:r>
    </w:p>
    <w:p w14:paraId="72B52886" w14:textId="5A9EF8C0" w:rsidR="00C17E1F" w:rsidRDefault="00C17E1F" w:rsidP="00C17E1F">
      <w:pPr>
        <w:pStyle w:val="11"/>
      </w:pPr>
      <w:r>
        <w:t>Сданный в эксплуатацию объект представляет собой односекционный трехэтажный жилой дом, рассчитанный на 26 квартир</w:t>
      </w:r>
      <w:r w:rsidR="00A21A77" w:rsidRPr="00A21A77">
        <w:t>:</w:t>
      </w:r>
      <w:r w:rsidR="00156D0F">
        <w:t xml:space="preserve"> и</w:t>
      </w:r>
      <w:r>
        <w:t xml:space="preserve">з них 8 – однокомнатные, 15 – двухкомнатные и 3 – трехкомнатные. Общая площадь </w:t>
      </w:r>
      <w:r w:rsidR="00F2015E">
        <w:t xml:space="preserve">введенного дома </w:t>
      </w:r>
      <w:r>
        <w:t xml:space="preserve">составляет </w:t>
      </w:r>
      <w:r w:rsidR="00F2015E">
        <w:t xml:space="preserve">чуть более 1 500 </w:t>
      </w:r>
      <w:proofErr w:type="spellStart"/>
      <w:r w:rsidR="00F2015E">
        <w:t>кв.м</w:t>
      </w:r>
      <w:proofErr w:type="spellEnd"/>
      <w:r w:rsidR="00F2015E">
        <w:t xml:space="preserve">. </w:t>
      </w:r>
      <w:r>
        <w:t xml:space="preserve"> </w:t>
      </w:r>
    </w:p>
    <w:p w14:paraId="2AE09E3B" w14:textId="1984270B" w:rsidR="00C17E1F" w:rsidRDefault="00C17E1F" w:rsidP="00C17E1F">
      <w:pPr>
        <w:pStyle w:val="11"/>
      </w:pPr>
      <w:r>
        <w:t>На текущий момент почти все квартиры в доме распроданы</w:t>
      </w:r>
      <w:r w:rsidR="00995355">
        <w:t xml:space="preserve"> (</w:t>
      </w:r>
      <w:r>
        <w:t>в продаже остал</w:t>
      </w:r>
      <w:r w:rsidR="00995355">
        <w:t>о</w:t>
      </w:r>
      <w:r>
        <w:t xml:space="preserve">сь </w:t>
      </w:r>
      <w:r w:rsidR="00995355">
        <w:t>несколько штук)</w:t>
      </w:r>
      <w:r w:rsidR="00714128">
        <w:t xml:space="preserve">. </w:t>
      </w:r>
    </w:p>
    <w:p w14:paraId="06231986" w14:textId="48A4A44D" w:rsidR="00C17E1F" w:rsidRDefault="00714128" w:rsidP="00C17E1F">
      <w:pPr>
        <w:pStyle w:val="11"/>
      </w:pPr>
      <w:r>
        <w:t>О</w:t>
      </w:r>
      <w:r w:rsidR="00C17E1F">
        <w:t xml:space="preserve">собенностью введенного в эксплуатацию дома является </w:t>
      </w:r>
      <w:r w:rsidR="00995355">
        <w:t xml:space="preserve">то, что во всех квартирах на первом этаже имеются </w:t>
      </w:r>
      <w:r w:rsidR="00C17E1F">
        <w:t>открыты</w:t>
      </w:r>
      <w:r w:rsidR="00995355">
        <w:t>е</w:t>
      </w:r>
      <w:r w:rsidR="00C17E1F">
        <w:t xml:space="preserve"> террас</w:t>
      </w:r>
      <w:r w:rsidR="00995355">
        <w:t xml:space="preserve">ы, </w:t>
      </w:r>
      <w:r w:rsidR="00995355" w:rsidRPr="00995355">
        <w:t>на которые м</w:t>
      </w:r>
      <w:r w:rsidR="00995355">
        <w:t xml:space="preserve">ожно попасть прямо из квартиры. </w:t>
      </w:r>
      <w:r w:rsidR="00C17E1F">
        <w:t>Это небольшие огороженные земельные участки</w:t>
      </w:r>
      <w:r w:rsidR="00995355">
        <w:t>, кот</w:t>
      </w:r>
      <w:r w:rsidR="00C17E1F">
        <w:t>орые могут использова</w:t>
      </w:r>
      <w:r w:rsidR="00995355">
        <w:t>ться</w:t>
      </w:r>
      <w:r w:rsidR="00C17E1F">
        <w:t xml:space="preserve"> для отдыха на свежем воздухе.</w:t>
      </w:r>
      <w:r>
        <w:t xml:space="preserve"> </w:t>
      </w:r>
      <w:r w:rsidR="00995355">
        <w:t xml:space="preserve">Также в некоторых квартирах </w:t>
      </w:r>
      <w:r>
        <w:t>вход может осуществляться напрямую</w:t>
      </w:r>
      <w:r w:rsidR="00995355">
        <w:t xml:space="preserve"> через террасу</w:t>
      </w:r>
      <w:r>
        <w:t>, минуя подъезд.</w:t>
      </w:r>
    </w:p>
    <w:p w14:paraId="0B96E63A" w14:textId="589A19D7" w:rsidR="00C17E1F" w:rsidRDefault="00C17E1F" w:rsidP="00C17E1F">
      <w:pPr>
        <w:pStyle w:val="11"/>
      </w:pPr>
      <w:r>
        <w:t>«Наличие собственных террас в квартирах в данной ценовой категории является уникальным не только для рынка недвижимости Екатеринбурга, но и для всей России в целом. Сейчас, когда дом сдан</w:t>
      </w:r>
      <w:r w:rsidR="00156D0F">
        <w:t>,</w:t>
      </w:r>
      <w:r>
        <w:t xml:space="preserve"> и почти все квартиры нашли своих владельцев, можно говорить о том, что этот необычный формат оказался весьма востребован</w:t>
      </w:r>
      <w:r w:rsidR="002E35CC">
        <w:t xml:space="preserve">: </w:t>
      </w:r>
      <w:r w:rsidR="00714128">
        <w:t xml:space="preserve">подобные </w:t>
      </w:r>
      <w:r>
        <w:t xml:space="preserve">квартиры </w:t>
      </w:r>
      <w:r w:rsidR="00714128">
        <w:t xml:space="preserve">были распроданы в кратчайшие сроки </w:t>
      </w:r>
      <w:r>
        <w:t>после старта продаж</w:t>
      </w:r>
      <w:r w:rsidR="002E35CC">
        <w:t xml:space="preserve">, хотя обычно </w:t>
      </w:r>
      <w:r>
        <w:t xml:space="preserve">первый </w:t>
      </w:r>
      <w:r w:rsidR="00714128">
        <w:t xml:space="preserve">этаж </w:t>
      </w:r>
      <w:r>
        <w:t xml:space="preserve">не пользуется высоким спросом. </w:t>
      </w:r>
      <w:r w:rsidR="002E35CC">
        <w:t>П</w:t>
      </w:r>
      <w:r w:rsidR="00714128">
        <w:t xml:space="preserve">одобные квартиры </w:t>
      </w:r>
      <w:r w:rsidR="002E35CC">
        <w:t xml:space="preserve">запланированы </w:t>
      </w:r>
      <w:r w:rsidR="00714128">
        <w:t xml:space="preserve">и в последующих домах </w:t>
      </w:r>
      <w:r>
        <w:t>жило</w:t>
      </w:r>
      <w:r w:rsidR="00146FC3">
        <w:t>го</w:t>
      </w:r>
      <w:r>
        <w:t xml:space="preserve"> комплекс</w:t>
      </w:r>
      <w:r w:rsidR="00146FC3">
        <w:t>а</w:t>
      </w:r>
      <w:r>
        <w:t xml:space="preserve"> "</w:t>
      </w:r>
      <w:proofErr w:type="spellStart"/>
      <w:r>
        <w:t>Балтым</w:t>
      </w:r>
      <w:proofErr w:type="spellEnd"/>
      <w:r>
        <w:t>-Парк"</w:t>
      </w:r>
      <w:r w:rsidR="00146FC3">
        <w:t xml:space="preserve">, так что все желающие </w:t>
      </w:r>
      <w:r w:rsidR="002E35CC">
        <w:t>приобрести квартиру с террасой</w:t>
      </w:r>
      <w:r w:rsidR="00146FC3">
        <w:t xml:space="preserve"> еще имеют такую возможность</w:t>
      </w:r>
      <w:r>
        <w:t xml:space="preserve">», </w:t>
      </w:r>
      <w:r w:rsidR="00A34D6F">
        <w:t>–</w:t>
      </w:r>
      <w:bookmarkStart w:id="0" w:name="_GoBack"/>
      <w:bookmarkEnd w:id="0"/>
      <w:r>
        <w:t xml:space="preserve"> комментирует </w:t>
      </w:r>
      <w:r w:rsidRPr="00045808">
        <w:t xml:space="preserve">Роман </w:t>
      </w:r>
      <w:proofErr w:type="spellStart"/>
      <w:r w:rsidRPr="00045808">
        <w:t>Гибов</w:t>
      </w:r>
      <w:proofErr w:type="spellEnd"/>
      <w:r w:rsidRPr="00045808">
        <w:t xml:space="preserve">, генеральный директор компании ЮИТ </w:t>
      </w:r>
      <w:proofErr w:type="spellStart"/>
      <w:r w:rsidRPr="00045808">
        <w:t>Уралстрой</w:t>
      </w:r>
      <w:proofErr w:type="spellEnd"/>
      <w:r w:rsidRPr="00045808">
        <w:t>.</w:t>
      </w:r>
    </w:p>
    <w:p w14:paraId="370AE98E" w14:textId="064B8244" w:rsidR="00C17E1F" w:rsidRDefault="00C17E1F" w:rsidP="00C17E1F">
      <w:pPr>
        <w:pStyle w:val="11"/>
      </w:pPr>
      <w:r>
        <w:t xml:space="preserve">Кроме того, в сданном доме разместятся офис управляющей компании и новый офис продаж ЮИТ </w:t>
      </w:r>
      <w:proofErr w:type="spellStart"/>
      <w:r>
        <w:t>Уралстрой</w:t>
      </w:r>
      <w:proofErr w:type="spellEnd"/>
      <w:r>
        <w:t xml:space="preserve">. Последний будет расположен в </w:t>
      </w:r>
      <w:r w:rsidR="00DD6158">
        <w:t xml:space="preserve">двухуровневом </w:t>
      </w:r>
      <w:r w:rsidR="000B2E50">
        <w:t xml:space="preserve">офисном </w:t>
      </w:r>
      <w:r w:rsidR="00DD6158">
        <w:t xml:space="preserve">помещении </w:t>
      </w:r>
      <w:r>
        <w:t>с отдельным входом. Первый этаж займут помещения для переговоров с клиентами, а на втором будет представлен шоу-</w:t>
      </w:r>
      <w:proofErr w:type="spellStart"/>
      <w:r>
        <w:t>рум</w:t>
      </w:r>
      <w:proofErr w:type="spellEnd"/>
      <w:r w:rsidR="00146FC3">
        <w:t>.</w:t>
      </w:r>
      <w:r>
        <w:t xml:space="preserve"> </w:t>
      </w:r>
    </w:p>
    <w:p w14:paraId="38AEC60D" w14:textId="2EB3AF72" w:rsidR="00C17E1F" w:rsidRPr="00A05E48" w:rsidRDefault="00C17E1F" w:rsidP="00C17E1F">
      <w:pPr>
        <w:pStyle w:val="11"/>
      </w:pPr>
      <w:r>
        <w:t xml:space="preserve">Жилой комплекс </w:t>
      </w:r>
      <w:r w:rsidRPr="00A266A5">
        <w:t>«</w:t>
      </w:r>
      <w:proofErr w:type="spellStart"/>
      <w:r w:rsidRPr="00A266A5">
        <w:t>Балтым</w:t>
      </w:r>
      <w:proofErr w:type="spellEnd"/>
      <w:r w:rsidRPr="00A266A5">
        <w:t xml:space="preserve">-Парк» </w:t>
      </w:r>
      <w:r>
        <w:t>возводится на участке площадью 76 га и рассчитан более чем на 5 тыс. квартир в малоэтажных домах. Будущие жители смогут воспользоваться всей необходимой для комфортного проживания собственной инфраструктурой</w:t>
      </w:r>
      <w:r w:rsidR="00DD6158">
        <w:t xml:space="preserve">. </w:t>
      </w:r>
    </w:p>
    <w:p w14:paraId="2DC1B081" w14:textId="77777777" w:rsidR="00551408" w:rsidRDefault="00551408" w:rsidP="00C016BE">
      <w:pPr>
        <w:jc w:val="both"/>
        <w:rPr>
          <w:b/>
          <w:lang w:val="ru-RU"/>
        </w:rPr>
      </w:pPr>
    </w:p>
    <w:p w14:paraId="3AC1FDD5" w14:textId="77777777" w:rsidR="004E5843" w:rsidRDefault="004E5843" w:rsidP="00C016BE">
      <w:pPr>
        <w:jc w:val="both"/>
        <w:rPr>
          <w:b/>
          <w:lang w:val="ru-RU"/>
        </w:rPr>
      </w:pPr>
    </w:p>
    <w:p w14:paraId="5E8CAED8" w14:textId="613AF996" w:rsidR="00C016BE" w:rsidRDefault="00E54F8E" w:rsidP="00C016BE">
      <w:pPr>
        <w:jc w:val="both"/>
        <w:rPr>
          <w:b/>
          <w:lang w:val="ru-RU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3CBA7F24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</w:t>
      </w:r>
      <w:r w:rsidRPr="00473C88">
        <w:lastRenderedPageBreak/>
        <w:t>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подразделениями в Москве, Московской области, Санкт-Петербурге, Екатеринбурге, 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A34D6F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77777777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proofErr w:type="spellStart"/>
      <w:r w:rsidRPr="00B521BC">
        <w:rPr>
          <w:rFonts w:cs="Arial"/>
          <w:b/>
          <w:lang w:val="ru-RU"/>
        </w:rPr>
        <w:t>Уралстрой</w:t>
      </w:r>
      <w:proofErr w:type="spellEnd"/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F4130ED" w14:textId="0D4B217F" w:rsidR="0070521C" w:rsidRPr="005F6AC7" w:rsidRDefault="0070521C" w:rsidP="0070521C">
      <w:pPr>
        <w:jc w:val="both"/>
        <w:rPr>
          <w:rFonts w:cs="Arial"/>
          <w:lang w:val="ru-RU"/>
        </w:rPr>
      </w:pPr>
      <w:r w:rsidRPr="005F6AC7">
        <w:rPr>
          <w:rFonts w:cs="Arial"/>
          <w:lang w:val="ru-RU"/>
        </w:rPr>
        <w:t xml:space="preserve">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, дочерняя компания концерна YIT (ЮИТ), учрежденная в ноябре 2006 года, осуществляет жилищное строительство в Екатеринбурге, Тюмени и Свердловской области. Дома возводятся под международным брендом YIT (ЮИТ). На сегодняшний день ЮИТ </w:t>
      </w:r>
      <w:proofErr w:type="spellStart"/>
      <w:r w:rsidRPr="005F6AC7">
        <w:rPr>
          <w:rFonts w:cs="Arial"/>
          <w:lang w:val="ru-RU"/>
        </w:rPr>
        <w:t>Уралстрой</w:t>
      </w:r>
      <w:proofErr w:type="spellEnd"/>
      <w:r w:rsidRPr="005F6AC7">
        <w:rPr>
          <w:rFonts w:cs="Arial"/>
          <w:lang w:val="ru-RU"/>
        </w:rPr>
        <w:t xml:space="preserve"> завершила строительство следующих объектов: ЖК «Великолепная восьмерка», ЖК «</w:t>
      </w:r>
      <w:proofErr w:type="spellStart"/>
      <w:r w:rsidRPr="005F6AC7">
        <w:rPr>
          <w:rFonts w:cs="Arial"/>
          <w:lang w:val="ru-RU"/>
        </w:rPr>
        <w:t>Оптима</w:t>
      </w:r>
      <w:proofErr w:type="spellEnd"/>
      <w:r w:rsidRPr="005F6AC7">
        <w:rPr>
          <w:rFonts w:cs="Arial"/>
          <w:lang w:val="ru-RU"/>
        </w:rPr>
        <w:t>», ЖК «Заря», ЖК «Дружба», ЖК «</w:t>
      </w:r>
      <w:proofErr w:type="spellStart"/>
      <w:r w:rsidRPr="005F6AC7">
        <w:rPr>
          <w:rFonts w:cs="Arial"/>
          <w:lang w:val="ru-RU"/>
        </w:rPr>
        <w:t>Форест</w:t>
      </w:r>
      <w:proofErr w:type="spellEnd"/>
      <w:r w:rsidRPr="005F6AC7">
        <w:rPr>
          <w:rFonts w:cs="Arial"/>
          <w:lang w:val="ru-RU"/>
        </w:rPr>
        <w:t>», ЖК «Фаворит» и гаражного комплекса в Екатеринбурге, ЖК «Юстас»</w:t>
      </w:r>
      <w:r w:rsidR="00146FC3">
        <w:rPr>
          <w:rFonts w:cs="Arial"/>
          <w:lang w:val="ru-RU"/>
        </w:rPr>
        <w:t>,</w:t>
      </w:r>
      <w:r w:rsidRPr="005F6AC7">
        <w:rPr>
          <w:rFonts w:cs="Arial"/>
          <w:lang w:val="ru-RU"/>
        </w:rPr>
        <w:t xml:space="preserve"> ЖК «Рифей» (1-13 </w:t>
      </w:r>
      <w:r w:rsidR="00FC7F84" w:rsidRPr="005F6AC7">
        <w:rPr>
          <w:rFonts w:cs="Arial"/>
          <w:lang w:val="ru-RU"/>
        </w:rPr>
        <w:t xml:space="preserve">ПК) </w:t>
      </w:r>
      <w:r w:rsidR="00FC7F84">
        <w:rPr>
          <w:rFonts w:cs="Arial"/>
          <w:lang w:val="ru-RU"/>
        </w:rPr>
        <w:t>и</w:t>
      </w:r>
      <w:r w:rsidR="00146FC3">
        <w:rPr>
          <w:rFonts w:cs="Arial"/>
          <w:lang w:val="ru-RU"/>
        </w:rPr>
        <w:t xml:space="preserve"> ЖК «</w:t>
      </w:r>
      <w:proofErr w:type="spellStart"/>
      <w:r w:rsidR="00146FC3">
        <w:rPr>
          <w:rFonts w:cs="Arial"/>
          <w:lang w:val="ru-RU"/>
        </w:rPr>
        <w:t>Балтым</w:t>
      </w:r>
      <w:proofErr w:type="spellEnd"/>
      <w:r w:rsidR="00146FC3">
        <w:rPr>
          <w:rFonts w:cs="Arial"/>
          <w:lang w:val="ru-RU"/>
        </w:rPr>
        <w:t xml:space="preserve">-Парк» (1 ПК) </w:t>
      </w:r>
      <w:r w:rsidRPr="005F6AC7">
        <w:rPr>
          <w:rFonts w:cs="Arial"/>
          <w:lang w:val="ru-RU"/>
        </w:rPr>
        <w:t xml:space="preserve">в Верхней Пышме, а также ЖК «Жуков» (ГП-1) в Тюмени. На данный момент ведется строительство еще </w:t>
      </w:r>
      <w:r>
        <w:rPr>
          <w:rFonts w:cs="Arial"/>
          <w:lang w:val="ru-RU"/>
        </w:rPr>
        <w:t>четырех</w:t>
      </w:r>
      <w:r w:rsidRPr="005F6AC7">
        <w:rPr>
          <w:rFonts w:cs="Arial"/>
          <w:lang w:val="ru-RU"/>
        </w:rPr>
        <w:t xml:space="preserve"> объектов.</w:t>
      </w:r>
    </w:p>
    <w:p w14:paraId="67558D8B" w14:textId="77777777" w:rsidR="0070521C" w:rsidRDefault="0070521C" w:rsidP="0070521C">
      <w:pPr>
        <w:jc w:val="both"/>
        <w:rPr>
          <w:rFonts w:cs="Arial"/>
          <w:iCs/>
          <w:lang w:val="ru-RU"/>
        </w:rPr>
      </w:pPr>
    </w:p>
    <w:p w14:paraId="582404B5" w14:textId="77777777" w:rsidR="0070521C" w:rsidRDefault="00A34D6F" w:rsidP="0070521C">
      <w:pPr>
        <w:jc w:val="both"/>
        <w:rPr>
          <w:rFonts w:cs="Arial"/>
          <w:b/>
          <w:lang w:val="ru-RU"/>
        </w:rPr>
      </w:pPr>
      <w:hyperlink r:id="rId14" w:history="1">
        <w:r w:rsidR="0070521C" w:rsidRPr="004F2448">
          <w:rPr>
            <w:rStyle w:val="af1"/>
            <w:rFonts w:cs="Arial"/>
            <w:iCs/>
          </w:rPr>
          <w:t>www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yitural</w:t>
        </w:r>
        <w:r w:rsidR="0070521C" w:rsidRPr="00E218FC">
          <w:rPr>
            <w:rStyle w:val="af1"/>
            <w:rFonts w:cs="Arial"/>
            <w:iCs/>
            <w:lang w:val="ru-RU"/>
          </w:rPr>
          <w:t>.</w:t>
        </w:r>
        <w:r w:rsidR="0070521C" w:rsidRPr="004F2448">
          <w:rPr>
            <w:rStyle w:val="af1"/>
            <w:rFonts w:cs="Arial"/>
            <w:iCs/>
          </w:rPr>
          <w:t>ru</w:t>
        </w:r>
      </w:hyperlink>
    </w:p>
    <w:p w14:paraId="5E6EC106" w14:textId="77777777" w:rsidR="0023207C" w:rsidRPr="00E54F8E" w:rsidRDefault="0023207C">
      <w:pPr>
        <w:rPr>
          <w:lang w:val="ru-RU"/>
        </w:rPr>
      </w:pPr>
    </w:p>
    <w:sectPr w:rsidR="0023207C" w:rsidRPr="00E54F8E" w:rsidSect="00A933F8">
      <w:headerReference w:type="default" r:id="rId15"/>
      <w:headerReference w:type="first" r:id="rId16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7F86C" w14:textId="77777777" w:rsidR="005C3C5D" w:rsidRDefault="005C3C5D" w:rsidP="00FF4A0B">
      <w:r>
        <w:separator/>
      </w:r>
    </w:p>
  </w:endnote>
  <w:endnote w:type="continuationSeparator" w:id="0">
    <w:p w14:paraId="2B0638B4" w14:textId="77777777" w:rsidR="005C3C5D" w:rsidRDefault="005C3C5D" w:rsidP="00FF4A0B">
      <w:r>
        <w:continuationSeparator/>
      </w:r>
    </w:p>
  </w:endnote>
  <w:endnote w:type="continuationNotice" w:id="1">
    <w:p w14:paraId="06FFC04B" w14:textId="77777777" w:rsidR="005C3C5D" w:rsidRDefault="005C3C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896C7" w14:textId="77777777" w:rsidR="005C3C5D" w:rsidRDefault="005C3C5D" w:rsidP="00FF4A0B">
      <w:r>
        <w:separator/>
      </w:r>
    </w:p>
  </w:footnote>
  <w:footnote w:type="continuationSeparator" w:id="0">
    <w:p w14:paraId="76C3C447" w14:textId="77777777" w:rsidR="005C3C5D" w:rsidRDefault="005C3C5D" w:rsidP="00FF4A0B">
      <w:r>
        <w:continuationSeparator/>
      </w:r>
    </w:p>
  </w:footnote>
  <w:footnote w:type="continuationNotice" w:id="1">
    <w:p w14:paraId="76C63601" w14:textId="77777777" w:rsidR="005C3C5D" w:rsidRDefault="005C3C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A448D3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6DE625A5" w:rsidR="00A448D3" w:rsidRPr="00A933F8" w:rsidRDefault="00A34D6F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60150">
                <w:rPr>
                  <w:lang w:val="en-GB"/>
                </w:rPr>
                <w:t>24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A34D6F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2AF5CFE7" w14:textId="77777777" w:rsidTr="006444A9">
      <w:tc>
        <w:tcPr>
          <w:tcW w:w="5103" w:type="dxa"/>
          <w:vMerge/>
        </w:tcPr>
        <w:p w14:paraId="7188337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7AD9A46D" w14:textId="77777777" w:rsidTr="006444A9">
      <w:tc>
        <w:tcPr>
          <w:tcW w:w="5103" w:type="dxa"/>
          <w:vMerge/>
        </w:tcPr>
        <w:p w14:paraId="3335A7FC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36C7EF09" w14:textId="77777777" w:rsidTr="00640D33">
      <w:tc>
        <w:tcPr>
          <w:tcW w:w="5103" w:type="dxa"/>
        </w:tcPr>
        <w:p w14:paraId="0A85D712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A448D3" w:rsidRDefault="00A448D3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A448D3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A448D3" w:rsidRPr="00A933F8" w:rsidRDefault="00A448D3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2C6D75EA" w:rsidR="00A448D3" w:rsidRPr="00A933F8" w:rsidRDefault="00A34D6F" w:rsidP="004A483D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8-24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B60150">
                <w:rPr>
                  <w:lang w:val="en-GB"/>
                </w:rPr>
                <w:t>24 August 2016</w:t>
              </w:r>
            </w:sdtContent>
          </w:sdt>
          <w:r w:rsidR="00A448D3" w:rsidRPr="00A933F8">
            <w:rPr>
              <w:lang w:val="en-GB"/>
            </w:rPr>
            <w:t xml:space="preserve">  |  </w:t>
          </w:r>
          <w:r w:rsidR="00A448D3" w:rsidRPr="00A933F8">
            <w:rPr>
              <w:lang w:val="en-GB"/>
            </w:rPr>
            <w:fldChar w:fldCharType="begin"/>
          </w:r>
          <w:r w:rsidR="00A448D3" w:rsidRPr="00A933F8">
            <w:rPr>
              <w:lang w:val="en-GB"/>
            </w:rPr>
            <w:instrText xml:space="preserve"> PAGE   \* MERGEFORMAT </w:instrText>
          </w:r>
          <w:r w:rsidR="00A448D3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A448D3" w:rsidRPr="00A933F8">
            <w:rPr>
              <w:lang w:val="en-GB"/>
            </w:rPr>
            <w:fldChar w:fldCharType="end"/>
          </w:r>
          <w:r w:rsidR="00A448D3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A34D6F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A448D3" w:rsidRPr="00A933F8">
            <w:rPr>
              <w:lang w:val="en-GB"/>
            </w:rPr>
            <w:t>)</w:t>
          </w:r>
        </w:p>
      </w:tc>
    </w:tr>
    <w:tr w:rsidR="00A448D3" w:rsidRPr="00A933F8" w14:paraId="611F7493" w14:textId="77777777" w:rsidTr="00F8658B">
      <w:tc>
        <w:tcPr>
          <w:tcW w:w="5103" w:type="dxa"/>
          <w:vMerge/>
        </w:tcPr>
        <w:p w14:paraId="136A73B6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594B7C7" w:rsidR="00A448D3" w:rsidRPr="0023207C" w:rsidRDefault="0070521C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Екатеринбург</w:t>
          </w:r>
        </w:p>
      </w:tc>
      <w:tc>
        <w:tcPr>
          <w:tcW w:w="20" w:type="dxa"/>
        </w:tcPr>
        <w:p w14:paraId="029D219F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423BC48" w14:textId="77777777" w:rsidTr="00F8658B">
      <w:tc>
        <w:tcPr>
          <w:tcW w:w="5103" w:type="dxa"/>
          <w:vMerge/>
        </w:tcPr>
        <w:p w14:paraId="0EC824DE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</w:tr>
    <w:tr w:rsidR="00A448D3" w:rsidRPr="00A933F8" w14:paraId="2CB03A76" w14:textId="77777777" w:rsidTr="00D71B52">
      <w:tc>
        <w:tcPr>
          <w:tcW w:w="5103" w:type="dxa"/>
        </w:tcPr>
        <w:p w14:paraId="09FAE835" w14:textId="77777777" w:rsidR="00A448D3" w:rsidRPr="00A933F8" w:rsidRDefault="00A448D3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A448D3" w:rsidRPr="00A933F8" w:rsidRDefault="00A448D3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A448D3" w:rsidRPr="00A933F8" w:rsidRDefault="00A448D3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363DD"/>
    <w:rsid w:val="00036970"/>
    <w:rsid w:val="000437FF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186B"/>
    <w:rsid w:val="00106476"/>
    <w:rsid w:val="00112CBC"/>
    <w:rsid w:val="00116BB6"/>
    <w:rsid w:val="00117173"/>
    <w:rsid w:val="001178C4"/>
    <w:rsid w:val="00120E4E"/>
    <w:rsid w:val="001224E8"/>
    <w:rsid w:val="00140D4D"/>
    <w:rsid w:val="0014500A"/>
    <w:rsid w:val="00146FC3"/>
    <w:rsid w:val="00156D0F"/>
    <w:rsid w:val="00163A58"/>
    <w:rsid w:val="00166EF5"/>
    <w:rsid w:val="0017144C"/>
    <w:rsid w:val="00175DC1"/>
    <w:rsid w:val="001760E0"/>
    <w:rsid w:val="00185178"/>
    <w:rsid w:val="00186AE0"/>
    <w:rsid w:val="001916D7"/>
    <w:rsid w:val="0019538D"/>
    <w:rsid w:val="001A059C"/>
    <w:rsid w:val="001A23A6"/>
    <w:rsid w:val="001D6100"/>
    <w:rsid w:val="001F30B0"/>
    <w:rsid w:val="001F33EE"/>
    <w:rsid w:val="001F6222"/>
    <w:rsid w:val="002030D0"/>
    <w:rsid w:val="00204326"/>
    <w:rsid w:val="00210E3E"/>
    <w:rsid w:val="00212536"/>
    <w:rsid w:val="00225F38"/>
    <w:rsid w:val="0023207C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80A9C"/>
    <w:rsid w:val="00290067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4C4C"/>
    <w:rsid w:val="00322945"/>
    <w:rsid w:val="003232FD"/>
    <w:rsid w:val="0032460A"/>
    <w:rsid w:val="00326577"/>
    <w:rsid w:val="00327811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1E2F"/>
    <w:rsid w:val="003A4C10"/>
    <w:rsid w:val="003B1355"/>
    <w:rsid w:val="003E00E0"/>
    <w:rsid w:val="003E5C97"/>
    <w:rsid w:val="003F1B59"/>
    <w:rsid w:val="003F2447"/>
    <w:rsid w:val="00410F00"/>
    <w:rsid w:val="00417C45"/>
    <w:rsid w:val="00421790"/>
    <w:rsid w:val="00431672"/>
    <w:rsid w:val="0045073B"/>
    <w:rsid w:val="00473C88"/>
    <w:rsid w:val="0049400D"/>
    <w:rsid w:val="004952B7"/>
    <w:rsid w:val="004A23FA"/>
    <w:rsid w:val="004A483D"/>
    <w:rsid w:val="004C277D"/>
    <w:rsid w:val="004E46B4"/>
    <w:rsid w:val="004E4C23"/>
    <w:rsid w:val="004E5843"/>
    <w:rsid w:val="004E7654"/>
    <w:rsid w:val="004F471A"/>
    <w:rsid w:val="005023CB"/>
    <w:rsid w:val="005242CB"/>
    <w:rsid w:val="00530462"/>
    <w:rsid w:val="00551408"/>
    <w:rsid w:val="00554127"/>
    <w:rsid w:val="00556C90"/>
    <w:rsid w:val="00562E40"/>
    <w:rsid w:val="00580B59"/>
    <w:rsid w:val="005828F1"/>
    <w:rsid w:val="00582F90"/>
    <w:rsid w:val="005A427D"/>
    <w:rsid w:val="005A6812"/>
    <w:rsid w:val="005A6CF9"/>
    <w:rsid w:val="005C01FE"/>
    <w:rsid w:val="005C08FF"/>
    <w:rsid w:val="005C2A8C"/>
    <w:rsid w:val="005C3C5D"/>
    <w:rsid w:val="005D44F9"/>
    <w:rsid w:val="005D58C3"/>
    <w:rsid w:val="005E16B0"/>
    <w:rsid w:val="005F403D"/>
    <w:rsid w:val="005F6AC7"/>
    <w:rsid w:val="006003DC"/>
    <w:rsid w:val="00600ECF"/>
    <w:rsid w:val="00601185"/>
    <w:rsid w:val="0060331E"/>
    <w:rsid w:val="006053F3"/>
    <w:rsid w:val="006160B9"/>
    <w:rsid w:val="00620DE7"/>
    <w:rsid w:val="00623DD3"/>
    <w:rsid w:val="006360A3"/>
    <w:rsid w:val="00640D33"/>
    <w:rsid w:val="006425B8"/>
    <w:rsid w:val="006444A9"/>
    <w:rsid w:val="006449D2"/>
    <w:rsid w:val="00653F79"/>
    <w:rsid w:val="00661436"/>
    <w:rsid w:val="006734DC"/>
    <w:rsid w:val="0067437F"/>
    <w:rsid w:val="00674CF6"/>
    <w:rsid w:val="00676136"/>
    <w:rsid w:val="0067654E"/>
    <w:rsid w:val="006A6AD5"/>
    <w:rsid w:val="006B644E"/>
    <w:rsid w:val="006C66F3"/>
    <w:rsid w:val="006D3E6C"/>
    <w:rsid w:val="006E6BC4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A12F2"/>
    <w:rsid w:val="007A5B61"/>
    <w:rsid w:val="007B1CDC"/>
    <w:rsid w:val="007B21CE"/>
    <w:rsid w:val="007B2E76"/>
    <w:rsid w:val="007B3A43"/>
    <w:rsid w:val="007B4337"/>
    <w:rsid w:val="007B7C10"/>
    <w:rsid w:val="007F2BCA"/>
    <w:rsid w:val="007F4AE9"/>
    <w:rsid w:val="008032C6"/>
    <w:rsid w:val="00806A10"/>
    <w:rsid w:val="00823D9C"/>
    <w:rsid w:val="0082602D"/>
    <w:rsid w:val="008269AC"/>
    <w:rsid w:val="008343C6"/>
    <w:rsid w:val="00834F65"/>
    <w:rsid w:val="00842446"/>
    <w:rsid w:val="00856F0A"/>
    <w:rsid w:val="008713A8"/>
    <w:rsid w:val="00873403"/>
    <w:rsid w:val="00885C31"/>
    <w:rsid w:val="00891C85"/>
    <w:rsid w:val="008946E6"/>
    <w:rsid w:val="00896152"/>
    <w:rsid w:val="008A46F6"/>
    <w:rsid w:val="008A7C29"/>
    <w:rsid w:val="008B1416"/>
    <w:rsid w:val="008C3A68"/>
    <w:rsid w:val="008D6CE2"/>
    <w:rsid w:val="008E4AFC"/>
    <w:rsid w:val="008E536B"/>
    <w:rsid w:val="008F1F28"/>
    <w:rsid w:val="008F33C5"/>
    <w:rsid w:val="00901F4B"/>
    <w:rsid w:val="00905F6A"/>
    <w:rsid w:val="009060D6"/>
    <w:rsid w:val="00932396"/>
    <w:rsid w:val="00932B30"/>
    <w:rsid w:val="009446DA"/>
    <w:rsid w:val="009468B1"/>
    <w:rsid w:val="009521B8"/>
    <w:rsid w:val="009531A5"/>
    <w:rsid w:val="00955588"/>
    <w:rsid w:val="00962E55"/>
    <w:rsid w:val="00974BA4"/>
    <w:rsid w:val="0098022B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A21A77"/>
    <w:rsid w:val="00A27702"/>
    <w:rsid w:val="00A30B60"/>
    <w:rsid w:val="00A34D6F"/>
    <w:rsid w:val="00A36378"/>
    <w:rsid w:val="00A4456C"/>
    <w:rsid w:val="00A448D3"/>
    <w:rsid w:val="00A5430D"/>
    <w:rsid w:val="00A56607"/>
    <w:rsid w:val="00A767C3"/>
    <w:rsid w:val="00A77104"/>
    <w:rsid w:val="00A84C0D"/>
    <w:rsid w:val="00A933F8"/>
    <w:rsid w:val="00AA392B"/>
    <w:rsid w:val="00AA50A3"/>
    <w:rsid w:val="00AB6C0D"/>
    <w:rsid w:val="00AC5E5A"/>
    <w:rsid w:val="00AC6F8F"/>
    <w:rsid w:val="00AD0DAF"/>
    <w:rsid w:val="00AF051D"/>
    <w:rsid w:val="00AF3C8D"/>
    <w:rsid w:val="00AF625C"/>
    <w:rsid w:val="00B003C9"/>
    <w:rsid w:val="00B112B5"/>
    <w:rsid w:val="00B30004"/>
    <w:rsid w:val="00B41044"/>
    <w:rsid w:val="00B459F2"/>
    <w:rsid w:val="00B537A3"/>
    <w:rsid w:val="00B57FB2"/>
    <w:rsid w:val="00B60150"/>
    <w:rsid w:val="00B604E9"/>
    <w:rsid w:val="00B67C13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60FEB"/>
    <w:rsid w:val="00C75540"/>
    <w:rsid w:val="00C87551"/>
    <w:rsid w:val="00C95D50"/>
    <w:rsid w:val="00CA14CC"/>
    <w:rsid w:val="00CB757E"/>
    <w:rsid w:val="00CB7718"/>
    <w:rsid w:val="00CD0162"/>
    <w:rsid w:val="00CD02F0"/>
    <w:rsid w:val="00CD0FBE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4C"/>
    <w:rsid w:val="00D71360"/>
    <w:rsid w:val="00D71B52"/>
    <w:rsid w:val="00D739AA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D3478"/>
    <w:rsid w:val="00DD6158"/>
    <w:rsid w:val="00DE4941"/>
    <w:rsid w:val="00DE643E"/>
    <w:rsid w:val="00DF5A73"/>
    <w:rsid w:val="00E045AD"/>
    <w:rsid w:val="00E10FA1"/>
    <w:rsid w:val="00E1144A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664FA"/>
    <w:rsid w:val="00E6730E"/>
    <w:rsid w:val="00E7125D"/>
    <w:rsid w:val="00E80605"/>
    <w:rsid w:val="00E903C8"/>
    <w:rsid w:val="00E93401"/>
    <w:rsid w:val="00EC389D"/>
    <w:rsid w:val="00ED0E38"/>
    <w:rsid w:val="00EE0E69"/>
    <w:rsid w:val="00EF4312"/>
    <w:rsid w:val="00EF4704"/>
    <w:rsid w:val="00F102D5"/>
    <w:rsid w:val="00F1115E"/>
    <w:rsid w:val="00F2015E"/>
    <w:rsid w:val="00F21D24"/>
    <w:rsid w:val="00F23016"/>
    <w:rsid w:val="00F2779B"/>
    <w:rsid w:val="00F35F08"/>
    <w:rsid w:val="00F40078"/>
    <w:rsid w:val="00F44998"/>
    <w:rsid w:val="00F52EA2"/>
    <w:rsid w:val="00F55E7C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491E"/>
    <w:rsid w:val="00FF3A36"/>
    <w:rsid w:val="00FF3F62"/>
    <w:rsid w:val="00FF4A0B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67CAA35"/>
  <w15:docId w15:val="{DBDACDDF-7E6E-4E36-B597-2F6B7691E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yitura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103323"/>
    <w:rsid w:val="001443C1"/>
    <w:rsid w:val="001B2B57"/>
    <w:rsid w:val="001F0715"/>
    <w:rsid w:val="00205F36"/>
    <w:rsid w:val="002722B4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62A76"/>
    <w:rsid w:val="007E1224"/>
    <w:rsid w:val="00801078"/>
    <w:rsid w:val="008A0ACD"/>
    <w:rsid w:val="0092425C"/>
    <w:rsid w:val="009518AB"/>
    <w:rsid w:val="00984A95"/>
    <w:rsid w:val="00A51AED"/>
    <w:rsid w:val="00BD6C78"/>
    <w:rsid w:val="00CF1CFB"/>
    <w:rsid w:val="00CF7B12"/>
    <w:rsid w:val="00DF395B"/>
    <w:rsid w:val="00E3233C"/>
    <w:rsid w:val="00F31F7D"/>
    <w:rsid w:val="00F53089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2016-08-24T00:00:00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5</cp:revision>
  <cp:lastPrinted>2016-05-26T14:18:00Z</cp:lastPrinted>
  <dcterms:created xsi:type="dcterms:W3CDTF">2016-08-23T11:43:00Z</dcterms:created>
  <dcterms:modified xsi:type="dcterms:W3CDTF">2016-08-24T06:43:00Z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