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2" w:type="dxa"/>
        <w:tblLook w:val="01E0" w:firstRow="1" w:lastRow="1" w:firstColumn="1" w:lastColumn="1" w:noHBand="0" w:noVBand="0"/>
      </w:tblPr>
      <w:tblGrid>
        <w:gridCol w:w="1843"/>
        <w:gridCol w:w="5179"/>
        <w:gridCol w:w="2249"/>
        <w:gridCol w:w="471"/>
      </w:tblGrid>
      <w:tr w:rsidR="00EC2DD9" w:rsidRPr="000818AD" w14:paraId="32B3530D" w14:textId="77777777" w:rsidTr="008E3A05">
        <w:trPr>
          <w:gridAfter w:val="1"/>
          <w:cnfStyle w:val="100000000000" w:firstRow="1" w:lastRow="0" w:firstColumn="0" w:lastColumn="0" w:oddVBand="0" w:evenVBand="0" w:oddHBand="0" w:evenHBand="0" w:firstRowFirstColumn="0" w:firstRowLastColumn="0" w:lastRowFirstColumn="0" w:lastRowLastColumn="0"/>
          <w:wAfter w:w="471" w:type="dxa"/>
          <w:trHeight w:hRule="exact" w:val="550"/>
        </w:trPr>
        <w:tc>
          <w:tcPr>
            <w:tcW w:w="9271" w:type="dxa"/>
            <w:gridSpan w:val="3"/>
            <w:tcMar>
              <w:left w:w="0" w:type="dxa"/>
              <w:right w:w="0" w:type="dxa"/>
            </w:tcMar>
          </w:tcPr>
          <w:p w14:paraId="6C026396" w14:textId="18B030E2" w:rsidR="00EC2DD9" w:rsidRPr="00ED710E" w:rsidRDefault="00EC2DD9" w:rsidP="008E3A05">
            <w:pPr>
              <w:pStyle w:val="EYDocumenttitle"/>
              <w:rPr>
                <w:rFonts w:cs="Arial"/>
                <w:szCs w:val="36"/>
              </w:rPr>
            </w:pPr>
            <w:bookmarkStart w:id="0" w:name="_GoBack"/>
            <w:bookmarkEnd w:id="0"/>
            <w:r>
              <w:rPr>
                <w:szCs w:val="36"/>
              </w:rPr>
              <w:t>News</w:t>
            </w:r>
            <w:r w:rsidRPr="00ED710E">
              <w:rPr>
                <w:szCs w:val="36"/>
              </w:rPr>
              <w:t xml:space="preserve"> release</w:t>
            </w:r>
          </w:p>
        </w:tc>
      </w:tr>
      <w:tr w:rsidR="00EC2DD9" w:rsidRPr="000818AD" w14:paraId="614A520E" w14:textId="77777777" w:rsidTr="008E3A05">
        <w:trPr>
          <w:trHeight w:hRule="exact" w:val="369"/>
        </w:trPr>
        <w:tc>
          <w:tcPr>
            <w:tcW w:w="1843" w:type="dxa"/>
            <w:tcMar>
              <w:left w:w="0" w:type="dxa"/>
              <w:right w:w="0" w:type="dxa"/>
            </w:tcMar>
          </w:tcPr>
          <w:p w14:paraId="2485E03B" w14:textId="77777777" w:rsidR="00EC2DD9" w:rsidRPr="00ED710E" w:rsidRDefault="00EC2DD9" w:rsidP="008E3A05">
            <w:pPr>
              <w:pStyle w:val="EYDocumentprompts"/>
              <w:rPr>
                <w:rFonts w:cs="Arial"/>
                <w:sz w:val="22"/>
                <w:szCs w:val="22"/>
              </w:rPr>
            </w:pPr>
            <w:r w:rsidRPr="00ED710E">
              <w:rPr>
                <w:sz w:val="22"/>
                <w:szCs w:val="22"/>
              </w:rPr>
              <w:t>Contact person:</w:t>
            </w:r>
          </w:p>
          <w:p w14:paraId="3EF80E5A" w14:textId="77777777" w:rsidR="00EC2DD9" w:rsidRPr="00ED710E" w:rsidRDefault="00EC2DD9" w:rsidP="008E3A05">
            <w:pPr>
              <w:pStyle w:val="EYDocumentprompts"/>
              <w:rPr>
                <w:rFonts w:cs="Arial"/>
                <w:sz w:val="22"/>
                <w:szCs w:val="22"/>
              </w:rPr>
            </w:pPr>
          </w:p>
          <w:p w14:paraId="4D4B6125" w14:textId="77777777" w:rsidR="00EC2DD9" w:rsidRPr="00ED710E" w:rsidRDefault="00EC2DD9" w:rsidP="008E3A05">
            <w:pPr>
              <w:pStyle w:val="EYDocumentprompts"/>
              <w:rPr>
                <w:rFonts w:cs="Arial"/>
                <w:sz w:val="22"/>
                <w:szCs w:val="22"/>
              </w:rPr>
            </w:pPr>
          </w:p>
          <w:p w14:paraId="5FDAA919" w14:textId="77777777" w:rsidR="00EC2DD9" w:rsidRPr="00ED710E" w:rsidRDefault="00EC2DD9" w:rsidP="008E3A05">
            <w:pPr>
              <w:pStyle w:val="EYDocumentprompts"/>
              <w:rPr>
                <w:rFonts w:cs="Arial"/>
                <w:sz w:val="22"/>
                <w:szCs w:val="22"/>
              </w:rPr>
            </w:pPr>
          </w:p>
          <w:p w14:paraId="62960A0F" w14:textId="77777777" w:rsidR="00EC2DD9" w:rsidRPr="00ED710E" w:rsidRDefault="00EC2DD9" w:rsidP="008E3A05">
            <w:pPr>
              <w:pStyle w:val="EYDocumentprompts"/>
              <w:rPr>
                <w:rFonts w:cs="Arial"/>
                <w:sz w:val="22"/>
                <w:szCs w:val="22"/>
              </w:rPr>
            </w:pPr>
          </w:p>
        </w:tc>
        <w:tc>
          <w:tcPr>
            <w:tcW w:w="5179" w:type="dxa"/>
            <w:tcMar>
              <w:left w:w="0" w:type="dxa"/>
              <w:right w:w="0" w:type="dxa"/>
            </w:tcMar>
          </w:tcPr>
          <w:p w14:paraId="310CC375" w14:textId="77777777" w:rsidR="00EC2DD9" w:rsidRPr="00ED710E" w:rsidRDefault="00EC2DD9" w:rsidP="008E3A05">
            <w:pPr>
              <w:pStyle w:val="EYDocumentprompts"/>
              <w:rPr>
                <w:rFonts w:cs="Arial"/>
                <w:sz w:val="22"/>
                <w:szCs w:val="22"/>
              </w:rPr>
            </w:pPr>
            <w:r w:rsidRPr="00ED710E">
              <w:rPr>
                <w:sz w:val="22"/>
                <w:szCs w:val="22"/>
              </w:rPr>
              <w:t>Gleb Kostarev</w:t>
            </w:r>
          </w:p>
        </w:tc>
        <w:tc>
          <w:tcPr>
            <w:tcW w:w="2720" w:type="dxa"/>
            <w:gridSpan w:val="2"/>
            <w:tcMar>
              <w:left w:w="0" w:type="dxa"/>
              <w:right w:w="0" w:type="dxa"/>
            </w:tcMar>
          </w:tcPr>
          <w:p w14:paraId="51B32975" w14:textId="792D6860" w:rsidR="00EC2DD9" w:rsidRPr="00ED710E" w:rsidRDefault="00BD1A26" w:rsidP="008E3A05">
            <w:pPr>
              <w:pStyle w:val="EYDocumentprompts"/>
              <w:jc w:val="center"/>
              <w:rPr>
                <w:rFonts w:cs="Arial"/>
                <w:sz w:val="22"/>
                <w:szCs w:val="22"/>
                <w:highlight w:val="yellow"/>
              </w:rPr>
            </w:pPr>
            <w:r>
              <w:rPr>
                <w:sz w:val="22"/>
                <w:szCs w:val="22"/>
              </w:rPr>
              <w:t>5 October</w:t>
            </w:r>
            <w:r w:rsidR="00EC2DD9" w:rsidRPr="00ED710E">
              <w:rPr>
                <w:sz w:val="22"/>
                <w:szCs w:val="22"/>
              </w:rPr>
              <w:t> 2015</w:t>
            </w:r>
          </w:p>
        </w:tc>
      </w:tr>
      <w:tr w:rsidR="00EC2DD9" w:rsidRPr="000818AD" w14:paraId="09862D51" w14:textId="77777777" w:rsidTr="008E3A05">
        <w:trPr>
          <w:trHeight w:hRule="exact" w:val="369"/>
        </w:trPr>
        <w:tc>
          <w:tcPr>
            <w:tcW w:w="1843" w:type="dxa"/>
            <w:tcMar>
              <w:left w:w="0" w:type="dxa"/>
              <w:right w:w="0" w:type="dxa"/>
            </w:tcMar>
          </w:tcPr>
          <w:p w14:paraId="7B3ADA25" w14:textId="77777777" w:rsidR="00EC2DD9" w:rsidRPr="00ED710E" w:rsidRDefault="00EC2DD9" w:rsidP="008E3A05">
            <w:pPr>
              <w:pStyle w:val="EYDocumentprompts"/>
              <w:rPr>
                <w:rFonts w:cs="Arial"/>
                <w:sz w:val="22"/>
                <w:szCs w:val="22"/>
              </w:rPr>
            </w:pPr>
            <w:r w:rsidRPr="00ED710E">
              <w:rPr>
                <w:sz w:val="22"/>
                <w:szCs w:val="22"/>
              </w:rPr>
              <w:t>Company:</w:t>
            </w:r>
          </w:p>
        </w:tc>
        <w:tc>
          <w:tcPr>
            <w:tcW w:w="7899" w:type="dxa"/>
            <w:gridSpan w:val="3"/>
            <w:tcMar>
              <w:left w:w="0" w:type="dxa"/>
              <w:right w:w="0" w:type="dxa"/>
            </w:tcMar>
          </w:tcPr>
          <w:p w14:paraId="1BCFAF56" w14:textId="77777777" w:rsidR="00EC2DD9" w:rsidRPr="00ED710E" w:rsidRDefault="00EC2DD9" w:rsidP="008E3A05">
            <w:pPr>
              <w:pStyle w:val="EYDocumentprompts"/>
              <w:rPr>
                <w:rFonts w:cs="Arial"/>
                <w:sz w:val="22"/>
                <w:szCs w:val="22"/>
              </w:rPr>
            </w:pPr>
            <w:r w:rsidRPr="00ED710E">
              <w:rPr>
                <w:sz w:val="22"/>
                <w:szCs w:val="22"/>
              </w:rPr>
              <w:t>EY</w:t>
            </w:r>
          </w:p>
        </w:tc>
      </w:tr>
      <w:tr w:rsidR="00EC2DD9" w:rsidRPr="000818AD" w14:paraId="775AD600" w14:textId="77777777" w:rsidTr="008E3A05">
        <w:trPr>
          <w:trHeight w:hRule="exact" w:val="369"/>
        </w:trPr>
        <w:tc>
          <w:tcPr>
            <w:tcW w:w="1843" w:type="dxa"/>
            <w:tcMar>
              <w:left w:w="0" w:type="dxa"/>
              <w:right w:w="0" w:type="dxa"/>
            </w:tcMar>
          </w:tcPr>
          <w:p w14:paraId="7B85434E" w14:textId="77777777" w:rsidR="00EC2DD9" w:rsidRPr="00ED710E" w:rsidRDefault="00EC2DD9" w:rsidP="008E3A05">
            <w:pPr>
              <w:pStyle w:val="EYDocumentprompts"/>
              <w:rPr>
                <w:rFonts w:cs="Arial"/>
                <w:sz w:val="22"/>
                <w:szCs w:val="22"/>
              </w:rPr>
            </w:pPr>
            <w:r w:rsidRPr="00ED710E">
              <w:rPr>
                <w:sz w:val="22"/>
                <w:szCs w:val="22"/>
              </w:rPr>
              <w:t>Tel.:</w:t>
            </w:r>
          </w:p>
        </w:tc>
        <w:tc>
          <w:tcPr>
            <w:tcW w:w="7899" w:type="dxa"/>
            <w:gridSpan w:val="3"/>
            <w:tcMar>
              <w:left w:w="0" w:type="dxa"/>
              <w:right w:w="0" w:type="dxa"/>
            </w:tcMar>
          </w:tcPr>
          <w:p w14:paraId="42740118" w14:textId="77777777" w:rsidR="00EC2DD9" w:rsidRPr="00ED710E" w:rsidRDefault="00EC2DD9" w:rsidP="008E3A05">
            <w:pPr>
              <w:pStyle w:val="EYDocumentprompts"/>
              <w:rPr>
                <w:rFonts w:cs="Arial"/>
                <w:sz w:val="22"/>
                <w:szCs w:val="22"/>
              </w:rPr>
            </w:pPr>
            <w:r w:rsidRPr="00ED710E">
              <w:rPr>
                <w:sz w:val="22"/>
                <w:szCs w:val="22"/>
              </w:rPr>
              <w:t>+ 7 (495) 755 97 00</w:t>
            </w:r>
          </w:p>
        </w:tc>
      </w:tr>
      <w:tr w:rsidR="00EC2DD9" w:rsidRPr="00FB1760" w14:paraId="7F9AF2E7" w14:textId="77777777" w:rsidTr="008E3A05">
        <w:trPr>
          <w:cnfStyle w:val="010000000000" w:firstRow="0" w:lastRow="1" w:firstColumn="0" w:lastColumn="0" w:oddVBand="0" w:evenVBand="0" w:oddHBand="0" w:evenHBand="0" w:firstRowFirstColumn="0" w:firstRowLastColumn="0" w:lastRowFirstColumn="0" w:lastRowLastColumn="0"/>
          <w:trHeight w:hRule="exact" w:val="369"/>
        </w:trPr>
        <w:tc>
          <w:tcPr>
            <w:tcW w:w="1843" w:type="dxa"/>
            <w:tcMar>
              <w:left w:w="0" w:type="dxa"/>
              <w:right w:w="0" w:type="dxa"/>
            </w:tcMar>
          </w:tcPr>
          <w:p w14:paraId="72D0A77F" w14:textId="77777777" w:rsidR="00EC2DD9" w:rsidRPr="00ED710E" w:rsidRDefault="00EC2DD9" w:rsidP="008E3A05">
            <w:pPr>
              <w:pStyle w:val="EYDocumentprompts"/>
              <w:rPr>
                <w:rFonts w:cs="Arial"/>
                <w:sz w:val="22"/>
                <w:szCs w:val="22"/>
              </w:rPr>
            </w:pPr>
            <w:r w:rsidRPr="00ED710E">
              <w:rPr>
                <w:sz w:val="22"/>
                <w:szCs w:val="22"/>
              </w:rPr>
              <w:t>Email:</w:t>
            </w:r>
          </w:p>
        </w:tc>
        <w:tc>
          <w:tcPr>
            <w:tcW w:w="7899" w:type="dxa"/>
            <w:gridSpan w:val="3"/>
            <w:tcMar>
              <w:left w:w="0" w:type="dxa"/>
              <w:right w:w="0" w:type="dxa"/>
            </w:tcMar>
          </w:tcPr>
          <w:p w14:paraId="49B6A9BF" w14:textId="77777777" w:rsidR="00EC2DD9" w:rsidRPr="00ED710E" w:rsidRDefault="00BD5100" w:rsidP="008E3A05">
            <w:pPr>
              <w:pStyle w:val="EYDocumentprompts"/>
              <w:rPr>
                <w:rFonts w:cs="Arial"/>
                <w:sz w:val="22"/>
                <w:szCs w:val="22"/>
              </w:rPr>
            </w:pPr>
            <w:hyperlink r:id="rId13">
              <w:r w:rsidR="00EC2DD9" w:rsidRPr="00ED710E">
                <w:rPr>
                  <w:rStyle w:val="Hyperlink"/>
                  <w:sz w:val="22"/>
                  <w:szCs w:val="22"/>
                </w:rPr>
                <w:t>Gleb.Kostarev@ru.ey.com</w:t>
              </w:r>
            </w:hyperlink>
          </w:p>
        </w:tc>
      </w:tr>
    </w:tbl>
    <w:p w14:paraId="65427D69" w14:textId="77777777" w:rsidR="006A76CF" w:rsidRDefault="006A76CF" w:rsidP="00CF6244">
      <w:pPr>
        <w:pStyle w:val="NoSpacing"/>
        <w:spacing w:line="360" w:lineRule="auto"/>
        <w:rPr>
          <w:rFonts w:ascii="Arial" w:hAnsi="Arial" w:cs="Arial"/>
          <w:sz w:val="20"/>
          <w:szCs w:val="20"/>
        </w:rPr>
      </w:pPr>
    </w:p>
    <w:p w14:paraId="65427D6A" w14:textId="77777777" w:rsidR="00970DAC" w:rsidRDefault="00FC2C76" w:rsidP="00023D97">
      <w:pPr>
        <w:pStyle w:val="NoSpacing"/>
        <w:spacing w:line="360" w:lineRule="auto"/>
        <w:rPr>
          <w:rFonts w:ascii="Arial" w:hAnsi="Arial" w:cs="Arial"/>
          <w:b/>
          <w:kern w:val="36"/>
          <w:sz w:val="28"/>
          <w:szCs w:val="28"/>
        </w:rPr>
      </w:pPr>
      <w:r>
        <w:rPr>
          <w:rFonts w:ascii="Arial" w:hAnsi="Arial" w:cs="Arial"/>
          <w:b/>
          <w:kern w:val="36"/>
          <w:sz w:val="28"/>
          <w:szCs w:val="28"/>
        </w:rPr>
        <w:t>Modest uptick for</w:t>
      </w:r>
      <w:r w:rsidR="0015145D">
        <w:rPr>
          <w:rFonts w:ascii="Arial" w:hAnsi="Arial" w:cs="Arial"/>
          <w:b/>
          <w:kern w:val="36"/>
          <w:sz w:val="28"/>
          <w:szCs w:val="28"/>
        </w:rPr>
        <w:t xml:space="preserve"> global</w:t>
      </w:r>
      <w:r>
        <w:rPr>
          <w:rFonts w:ascii="Arial" w:hAnsi="Arial" w:cs="Arial"/>
          <w:b/>
          <w:kern w:val="36"/>
          <w:sz w:val="28"/>
          <w:szCs w:val="28"/>
        </w:rPr>
        <w:t xml:space="preserve"> mining M&amp;A</w:t>
      </w:r>
      <w:r w:rsidR="0015145D">
        <w:rPr>
          <w:rFonts w:ascii="Arial" w:hAnsi="Arial" w:cs="Arial"/>
          <w:b/>
          <w:kern w:val="36"/>
          <w:sz w:val="28"/>
          <w:szCs w:val="28"/>
        </w:rPr>
        <w:t xml:space="preserve"> volume, while value rises by 18%</w:t>
      </w:r>
    </w:p>
    <w:p w14:paraId="65427D6B" w14:textId="77777777" w:rsidR="003157FF" w:rsidRPr="003157FF" w:rsidRDefault="00FC2C76" w:rsidP="002957AC">
      <w:pPr>
        <w:pStyle w:val="NoSpacing"/>
        <w:numPr>
          <w:ilvl w:val="0"/>
          <w:numId w:val="37"/>
        </w:numPr>
        <w:spacing w:line="360" w:lineRule="auto"/>
        <w:ind w:left="714" w:hanging="357"/>
        <w:rPr>
          <w:rFonts w:ascii="Arial" w:hAnsi="Arial" w:cs="Arial"/>
          <w:b/>
          <w:kern w:val="36"/>
          <w:sz w:val="28"/>
          <w:szCs w:val="28"/>
        </w:rPr>
      </w:pPr>
      <w:r>
        <w:rPr>
          <w:rFonts w:ascii="Arial" w:hAnsi="Arial" w:cs="Arial"/>
          <w:b/>
          <w:kern w:val="36"/>
          <w:sz w:val="22"/>
          <w:szCs w:val="22"/>
        </w:rPr>
        <w:t>Signs of strategic buying emerging</w:t>
      </w:r>
    </w:p>
    <w:p w14:paraId="65427D6C" w14:textId="77777777" w:rsidR="00023D97" w:rsidRDefault="00A35DF9" w:rsidP="00023D97">
      <w:pPr>
        <w:pStyle w:val="NoSpacing"/>
        <w:numPr>
          <w:ilvl w:val="0"/>
          <w:numId w:val="37"/>
        </w:numPr>
        <w:spacing w:after="120" w:line="360" w:lineRule="auto"/>
        <w:ind w:left="714" w:hanging="357"/>
        <w:rPr>
          <w:rFonts w:ascii="Arial" w:hAnsi="Arial" w:cs="Arial"/>
          <w:b/>
          <w:kern w:val="36"/>
          <w:sz w:val="28"/>
          <w:szCs w:val="28"/>
        </w:rPr>
      </w:pPr>
      <w:r>
        <w:rPr>
          <w:rFonts w:ascii="Arial" w:hAnsi="Arial" w:cs="Arial"/>
          <w:b/>
          <w:kern w:val="36"/>
          <w:sz w:val="22"/>
          <w:szCs w:val="22"/>
        </w:rPr>
        <w:t>Gold, coal</w:t>
      </w:r>
      <w:r w:rsidR="0015145D">
        <w:rPr>
          <w:rFonts w:ascii="Arial" w:hAnsi="Arial" w:cs="Arial"/>
          <w:b/>
          <w:kern w:val="36"/>
          <w:sz w:val="22"/>
          <w:szCs w:val="22"/>
        </w:rPr>
        <w:t xml:space="preserve"> and </w:t>
      </w:r>
      <w:r>
        <w:rPr>
          <w:rFonts w:ascii="Arial" w:hAnsi="Arial" w:cs="Arial"/>
          <w:b/>
          <w:kern w:val="36"/>
          <w:sz w:val="22"/>
          <w:szCs w:val="22"/>
        </w:rPr>
        <w:t>base metals targeted</w:t>
      </w:r>
    </w:p>
    <w:p w14:paraId="65427D6D" w14:textId="5FCD4E75" w:rsidR="00A35DF9" w:rsidRDefault="003E66BB" w:rsidP="003E66BB">
      <w:pPr>
        <w:pStyle w:val="NoSpacing"/>
        <w:spacing w:after="240" w:line="360" w:lineRule="auto"/>
        <w:rPr>
          <w:rFonts w:ascii="Arial" w:hAnsi="Arial" w:cs="Arial"/>
          <w:kern w:val="36"/>
          <w:sz w:val="22"/>
          <w:szCs w:val="22"/>
        </w:rPr>
      </w:pPr>
      <w:r>
        <w:rPr>
          <w:rFonts w:ascii="Arial" w:hAnsi="Arial" w:cs="Arial"/>
          <w:i/>
          <w:kern w:val="36"/>
          <w:sz w:val="22"/>
          <w:szCs w:val="22"/>
        </w:rPr>
        <w:t>LONDON</w:t>
      </w:r>
      <w:r w:rsidR="008D6145">
        <w:rPr>
          <w:rFonts w:ascii="Arial" w:hAnsi="Arial" w:cs="Arial"/>
          <w:i/>
          <w:kern w:val="36"/>
          <w:sz w:val="22"/>
          <w:szCs w:val="22"/>
        </w:rPr>
        <w:t xml:space="preserve">, </w:t>
      </w:r>
      <w:r w:rsidR="00BD1A26">
        <w:rPr>
          <w:rFonts w:ascii="Arial" w:hAnsi="Arial" w:cs="Arial"/>
          <w:i/>
          <w:kern w:val="36"/>
          <w:sz w:val="22"/>
          <w:szCs w:val="22"/>
        </w:rPr>
        <w:t>MOSCOW, 5</w:t>
      </w:r>
      <w:r>
        <w:rPr>
          <w:rFonts w:ascii="Arial" w:hAnsi="Arial" w:cs="Arial"/>
          <w:i/>
          <w:kern w:val="36"/>
          <w:sz w:val="22"/>
          <w:szCs w:val="22"/>
        </w:rPr>
        <w:t xml:space="preserve"> </w:t>
      </w:r>
      <w:r w:rsidR="00BD1A26">
        <w:rPr>
          <w:rFonts w:ascii="Arial" w:hAnsi="Arial" w:cs="Arial"/>
          <w:i/>
          <w:kern w:val="36"/>
          <w:sz w:val="22"/>
          <w:szCs w:val="22"/>
        </w:rPr>
        <w:t>OCTOBER</w:t>
      </w:r>
      <w:r w:rsidR="00047F47">
        <w:rPr>
          <w:rFonts w:ascii="Arial" w:hAnsi="Arial" w:cs="Arial"/>
          <w:i/>
          <w:kern w:val="36"/>
          <w:sz w:val="22"/>
          <w:szCs w:val="22"/>
        </w:rPr>
        <w:t xml:space="preserve"> </w:t>
      </w:r>
      <w:r w:rsidR="006B53F0" w:rsidRPr="00D82CDB">
        <w:rPr>
          <w:rFonts w:ascii="Arial" w:hAnsi="Arial" w:cs="Arial"/>
          <w:i/>
          <w:kern w:val="36"/>
          <w:sz w:val="22"/>
          <w:szCs w:val="22"/>
        </w:rPr>
        <w:t>201</w:t>
      </w:r>
      <w:r w:rsidR="00884539">
        <w:rPr>
          <w:rFonts w:ascii="Arial" w:hAnsi="Arial" w:cs="Arial"/>
          <w:i/>
          <w:kern w:val="36"/>
          <w:sz w:val="22"/>
          <w:szCs w:val="22"/>
        </w:rPr>
        <w:t>5</w:t>
      </w:r>
      <w:r w:rsidR="00AD1F67">
        <w:rPr>
          <w:rFonts w:ascii="Arial" w:hAnsi="Arial" w:cs="Arial"/>
          <w:kern w:val="36"/>
          <w:sz w:val="22"/>
          <w:szCs w:val="22"/>
        </w:rPr>
        <w:t>.</w:t>
      </w:r>
      <w:r w:rsidR="00D85F9F" w:rsidRPr="00CD02DC">
        <w:rPr>
          <w:rFonts w:ascii="Arial" w:hAnsi="Arial" w:cs="Arial"/>
          <w:kern w:val="36"/>
          <w:sz w:val="22"/>
          <w:szCs w:val="22"/>
        </w:rPr>
        <w:t xml:space="preserve"> </w:t>
      </w:r>
      <w:r w:rsidR="00A35DF9">
        <w:rPr>
          <w:rFonts w:ascii="Arial" w:hAnsi="Arial" w:cs="Arial"/>
          <w:kern w:val="36"/>
          <w:sz w:val="22"/>
          <w:szCs w:val="22"/>
        </w:rPr>
        <w:t>A modest uptick in Q2 2015 global mining and metals deal activity is expected to continue into the second half of the year, albeit at a slow</w:t>
      </w:r>
      <w:r w:rsidR="00BB5747">
        <w:rPr>
          <w:rFonts w:ascii="Arial" w:hAnsi="Arial" w:cs="Arial"/>
          <w:kern w:val="36"/>
          <w:sz w:val="22"/>
          <w:szCs w:val="22"/>
        </w:rPr>
        <w:t>,</w:t>
      </w:r>
      <w:r w:rsidR="00A35DF9">
        <w:rPr>
          <w:rFonts w:ascii="Arial" w:hAnsi="Arial" w:cs="Arial"/>
          <w:kern w:val="36"/>
          <w:sz w:val="22"/>
          <w:szCs w:val="22"/>
        </w:rPr>
        <w:t xml:space="preserve"> steady pace, </w:t>
      </w:r>
      <w:r w:rsidR="006E0EF8">
        <w:rPr>
          <w:rFonts w:ascii="Arial" w:hAnsi="Arial" w:cs="Arial"/>
          <w:kern w:val="36"/>
          <w:sz w:val="22"/>
          <w:szCs w:val="22"/>
        </w:rPr>
        <w:t>according to</w:t>
      </w:r>
      <w:r w:rsidR="0015145D">
        <w:rPr>
          <w:rFonts w:ascii="Arial" w:hAnsi="Arial" w:cs="Arial"/>
          <w:kern w:val="36"/>
          <w:sz w:val="22"/>
          <w:szCs w:val="22"/>
        </w:rPr>
        <w:t xml:space="preserve"> global professional services organization,</w:t>
      </w:r>
      <w:r w:rsidR="006E0EF8">
        <w:rPr>
          <w:rFonts w:ascii="Arial" w:hAnsi="Arial" w:cs="Arial"/>
          <w:kern w:val="36"/>
          <w:sz w:val="22"/>
          <w:szCs w:val="22"/>
        </w:rPr>
        <w:t xml:space="preserve"> </w:t>
      </w:r>
      <w:r w:rsidR="00A35DF9">
        <w:rPr>
          <w:rFonts w:ascii="Arial" w:hAnsi="Arial" w:cs="Arial"/>
          <w:kern w:val="36"/>
          <w:sz w:val="22"/>
          <w:szCs w:val="22"/>
        </w:rPr>
        <w:t>EY.</w:t>
      </w:r>
    </w:p>
    <w:p w14:paraId="65427D6E" w14:textId="77777777" w:rsidR="00A35DF9" w:rsidRDefault="0015145D" w:rsidP="003E66BB">
      <w:pPr>
        <w:pStyle w:val="NoSpacing"/>
        <w:spacing w:after="240" w:line="360" w:lineRule="auto"/>
        <w:rPr>
          <w:rFonts w:ascii="Arial" w:hAnsi="Arial" w:cs="Arial"/>
          <w:kern w:val="36"/>
          <w:sz w:val="22"/>
          <w:szCs w:val="22"/>
        </w:rPr>
      </w:pPr>
      <w:r>
        <w:rPr>
          <w:rFonts w:ascii="Arial" w:hAnsi="Arial" w:cs="Arial"/>
          <w:kern w:val="36"/>
          <w:sz w:val="22"/>
          <w:szCs w:val="22"/>
        </w:rPr>
        <w:t>The</w:t>
      </w:r>
      <w:r w:rsidR="00A35DF9">
        <w:rPr>
          <w:rFonts w:ascii="Arial" w:hAnsi="Arial" w:cs="Arial"/>
          <w:kern w:val="36"/>
          <w:sz w:val="22"/>
          <w:szCs w:val="22"/>
        </w:rPr>
        <w:t xml:space="preserve"> latest quarterly mining deals analysis, </w:t>
      </w:r>
      <w:r w:rsidR="00A35DF9">
        <w:rPr>
          <w:rFonts w:ascii="Arial" w:hAnsi="Arial" w:cs="Arial"/>
          <w:i/>
          <w:kern w:val="36"/>
          <w:sz w:val="22"/>
          <w:szCs w:val="22"/>
        </w:rPr>
        <w:t xml:space="preserve">Mergers, acquisitions and capital raising in mining and metals 1H 2015, </w:t>
      </w:r>
      <w:r w:rsidR="00A35DF9">
        <w:rPr>
          <w:rFonts w:ascii="Arial" w:hAnsi="Arial" w:cs="Arial"/>
          <w:kern w:val="36"/>
          <w:sz w:val="22"/>
          <w:szCs w:val="22"/>
        </w:rPr>
        <w:t>shows a 2% increase in quarter-on-quarter deal volume to 86 deals</w:t>
      </w:r>
      <w:r w:rsidR="00DA7186">
        <w:rPr>
          <w:rFonts w:ascii="Arial" w:hAnsi="Arial" w:cs="Arial"/>
          <w:kern w:val="36"/>
          <w:sz w:val="22"/>
          <w:szCs w:val="22"/>
        </w:rPr>
        <w:t xml:space="preserve"> in Q2 2015 compared to the previous quarter. </w:t>
      </w:r>
      <w:r w:rsidR="00E07595">
        <w:rPr>
          <w:rFonts w:ascii="Arial" w:hAnsi="Arial" w:cs="Arial"/>
          <w:kern w:val="36"/>
          <w:sz w:val="22"/>
          <w:szCs w:val="22"/>
        </w:rPr>
        <w:t xml:space="preserve">More interestingly, deal value for the first half of 2015 </w:t>
      </w:r>
      <w:r w:rsidR="00C10269">
        <w:rPr>
          <w:rFonts w:ascii="Arial" w:hAnsi="Arial" w:cs="Arial"/>
          <w:kern w:val="36"/>
          <w:sz w:val="22"/>
          <w:szCs w:val="22"/>
        </w:rPr>
        <w:t>increased 18</w:t>
      </w:r>
      <w:r w:rsidR="00DA7186">
        <w:rPr>
          <w:rFonts w:ascii="Arial" w:hAnsi="Arial" w:cs="Arial"/>
          <w:kern w:val="36"/>
          <w:sz w:val="22"/>
          <w:szCs w:val="22"/>
        </w:rPr>
        <w:t>%</w:t>
      </w:r>
      <w:r w:rsidR="00E07595">
        <w:rPr>
          <w:rFonts w:ascii="Arial" w:hAnsi="Arial" w:cs="Arial"/>
          <w:kern w:val="36"/>
          <w:sz w:val="22"/>
          <w:szCs w:val="22"/>
        </w:rPr>
        <w:t xml:space="preserve"> over the same period in 2014</w:t>
      </w:r>
      <w:r w:rsidR="00DA7186">
        <w:rPr>
          <w:rFonts w:ascii="Arial" w:hAnsi="Arial" w:cs="Arial"/>
          <w:kern w:val="36"/>
          <w:sz w:val="22"/>
          <w:szCs w:val="22"/>
        </w:rPr>
        <w:t xml:space="preserve"> to US$</w:t>
      </w:r>
      <w:r w:rsidR="00C10269">
        <w:rPr>
          <w:rFonts w:ascii="Arial" w:hAnsi="Arial" w:cs="Arial"/>
          <w:kern w:val="36"/>
          <w:sz w:val="22"/>
          <w:szCs w:val="22"/>
        </w:rPr>
        <w:t>21.4</w:t>
      </w:r>
      <w:r w:rsidR="00BB5747">
        <w:rPr>
          <w:rFonts w:ascii="Arial" w:hAnsi="Arial" w:cs="Arial"/>
          <w:kern w:val="36"/>
          <w:sz w:val="22"/>
          <w:szCs w:val="22"/>
        </w:rPr>
        <w:t>b</w:t>
      </w:r>
      <w:r w:rsidR="00DA7186">
        <w:rPr>
          <w:rFonts w:ascii="Arial" w:hAnsi="Arial" w:cs="Arial"/>
          <w:kern w:val="36"/>
          <w:sz w:val="22"/>
          <w:szCs w:val="22"/>
        </w:rPr>
        <w:t xml:space="preserve">, </w:t>
      </w:r>
      <w:r w:rsidR="00E07595">
        <w:rPr>
          <w:rFonts w:ascii="Arial" w:hAnsi="Arial" w:cs="Arial"/>
          <w:kern w:val="36"/>
          <w:sz w:val="22"/>
          <w:szCs w:val="22"/>
        </w:rPr>
        <w:t xml:space="preserve">albeit this includes the </w:t>
      </w:r>
      <w:r w:rsidR="00DA7186">
        <w:rPr>
          <w:rFonts w:ascii="Arial" w:hAnsi="Arial" w:cs="Arial"/>
          <w:kern w:val="36"/>
          <w:sz w:val="22"/>
          <w:szCs w:val="22"/>
        </w:rPr>
        <w:t>US$8.7b BHP Billiton demerger of South32.</w:t>
      </w:r>
      <w:r w:rsidR="00E07595">
        <w:rPr>
          <w:rFonts w:ascii="Arial" w:hAnsi="Arial" w:cs="Arial"/>
          <w:kern w:val="36"/>
          <w:sz w:val="22"/>
          <w:szCs w:val="22"/>
        </w:rPr>
        <w:t xml:space="preserve"> </w:t>
      </w:r>
      <w:r w:rsidR="00C10269">
        <w:rPr>
          <w:rFonts w:ascii="Arial" w:hAnsi="Arial" w:cs="Arial"/>
          <w:kern w:val="36"/>
          <w:sz w:val="22"/>
          <w:szCs w:val="22"/>
        </w:rPr>
        <w:t xml:space="preserve"> Excluding the demerger, Q2 2015 deal value was 13% higher than Q1 2015.</w:t>
      </w:r>
    </w:p>
    <w:p w14:paraId="65427D6F" w14:textId="77777777" w:rsidR="006E0EF8" w:rsidRDefault="006E0EF8" w:rsidP="003E66BB">
      <w:pPr>
        <w:pStyle w:val="NoSpacing"/>
        <w:spacing w:after="240" w:line="360" w:lineRule="auto"/>
        <w:rPr>
          <w:rFonts w:ascii="Arial" w:hAnsi="Arial" w:cs="Arial"/>
          <w:sz w:val="22"/>
          <w:szCs w:val="22"/>
        </w:rPr>
      </w:pPr>
      <w:r w:rsidRPr="0022483F">
        <w:rPr>
          <w:rFonts w:ascii="Arial" w:hAnsi="Arial" w:cs="Arial"/>
          <w:sz w:val="22"/>
          <w:szCs w:val="22"/>
        </w:rPr>
        <w:t>Lee Downham</w:t>
      </w:r>
      <w:r>
        <w:rPr>
          <w:rFonts w:ascii="Arial" w:hAnsi="Arial" w:cs="Arial"/>
          <w:sz w:val="22"/>
          <w:szCs w:val="22"/>
        </w:rPr>
        <w:t>,</w:t>
      </w:r>
      <w:r w:rsidRPr="0022483F">
        <w:rPr>
          <w:rFonts w:ascii="Arial" w:hAnsi="Arial" w:cs="Arial"/>
          <w:sz w:val="22"/>
          <w:szCs w:val="22"/>
        </w:rPr>
        <w:t xml:space="preserve"> </w:t>
      </w:r>
      <w:r w:rsidR="00DA7186" w:rsidRPr="0022483F">
        <w:rPr>
          <w:rFonts w:ascii="Arial" w:hAnsi="Arial" w:cs="Arial"/>
          <w:sz w:val="22"/>
          <w:szCs w:val="22"/>
        </w:rPr>
        <w:t>EY Global Mining &amp; Metals Transactions Leader, says:</w:t>
      </w:r>
      <w:r w:rsidR="00DA7186">
        <w:rPr>
          <w:rFonts w:ascii="Arial" w:hAnsi="Arial" w:cs="Arial"/>
          <w:sz w:val="22"/>
          <w:szCs w:val="22"/>
        </w:rPr>
        <w:t xml:space="preserve"> </w:t>
      </w:r>
    </w:p>
    <w:p w14:paraId="65427D70" w14:textId="77777777" w:rsidR="00444636" w:rsidRDefault="00DA7186" w:rsidP="003E66BB">
      <w:pPr>
        <w:pStyle w:val="NoSpacing"/>
        <w:spacing w:after="240" w:line="360" w:lineRule="auto"/>
        <w:rPr>
          <w:rFonts w:ascii="Arial" w:hAnsi="Arial" w:cs="Arial"/>
          <w:sz w:val="22"/>
          <w:szCs w:val="22"/>
        </w:rPr>
      </w:pPr>
      <w:r>
        <w:rPr>
          <w:rFonts w:ascii="Arial" w:hAnsi="Arial" w:cs="Arial"/>
          <w:sz w:val="22"/>
          <w:szCs w:val="22"/>
        </w:rPr>
        <w:t>“</w:t>
      </w:r>
      <w:r w:rsidR="00BB5747">
        <w:rPr>
          <w:rFonts w:ascii="Arial" w:hAnsi="Arial" w:cs="Arial"/>
          <w:sz w:val="22"/>
          <w:szCs w:val="22"/>
        </w:rPr>
        <w:t>With weak commodity prices putting pressure on margins, earnings and debt serviceability, the sector continues to be cautious against countercyclical investment.</w:t>
      </w:r>
      <w:r w:rsidR="006E0EF8">
        <w:rPr>
          <w:rFonts w:ascii="Arial" w:hAnsi="Arial" w:cs="Arial"/>
          <w:sz w:val="22"/>
          <w:szCs w:val="22"/>
        </w:rPr>
        <w:t xml:space="preserve"> </w:t>
      </w:r>
      <w:r w:rsidR="00FB1C9E">
        <w:rPr>
          <w:rFonts w:ascii="Arial" w:hAnsi="Arial" w:cs="Arial"/>
          <w:sz w:val="22"/>
          <w:szCs w:val="22"/>
        </w:rPr>
        <w:t>The lack of momentum, mainly on the buy side, continues to be an issue in executing deals.</w:t>
      </w:r>
    </w:p>
    <w:p w14:paraId="65427D71" w14:textId="77777777" w:rsidR="00FB1C9E" w:rsidRDefault="00444636" w:rsidP="003E66BB">
      <w:pPr>
        <w:pStyle w:val="NoSpacing"/>
        <w:spacing w:after="240" w:line="360" w:lineRule="auto"/>
        <w:rPr>
          <w:rFonts w:ascii="Arial" w:hAnsi="Arial" w:cs="Arial"/>
          <w:sz w:val="22"/>
          <w:szCs w:val="22"/>
        </w:rPr>
      </w:pPr>
      <w:r>
        <w:rPr>
          <w:rFonts w:ascii="Arial" w:hAnsi="Arial" w:cs="Arial"/>
          <w:sz w:val="22"/>
          <w:szCs w:val="22"/>
        </w:rPr>
        <w:t>“</w:t>
      </w:r>
      <w:r w:rsidR="003D3E28">
        <w:rPr>
          <w:rFonts w:ascii="Arial" w:hAnsi="Arial" w:cs="Arial"/>
          <w:sz w:val="22"/>
          <w:szCs w:val="22"/>
        </w:rPr>
        <w:t xml:space="preserve">We </w:t>
      </w:r>
      <w:r w:rsidR="00BB5747">
        <w:rPr>
          <w:rFonts w:ascii="Arial" w:hAnsi="Arial" w:cs="Arial"/>
          <w:sz w:val="22"/>
          <w:szCs w:val="22"/>
        </w:rPr>
        <w:t>are</w:t>
      </w:r>
      <w:r w:rsidR="003D3E28">
        <w:rPr>
          <w:rFonts w:ascii="Arial" w:hAnsi="Arial" w:cs="Arial"/>
          <w:sz w:val="22"/>
          <w:szCs w:val="22"/>
        </w:rPr>
        <w:t xml:space="preserve"> seeing</w:t>
      </w:r>
      <w:r w:rsidR="00BB5747">
        <w:rPr>
          <w:rFonts w:ascii="Arial" w:hAnsi="Arial" w:cs="Arial"/>
          <w:sz w:val="22"/>
          <w:szCs w:val="22"/>
        </w:rPr>
        <w:t xml:space="preserve"> </w:t>
      </w:r>
      <w:r w:rsidR="003D3E28">
        <w:rPr>
          <w:rFonts w:ascii="Arial" w:hAnsi="Arial" w:cs="Arial"/>
          <w:sz w:val="22"/>
          <w:szCs w:val="22"/>
        </w:rPr>
        <w:t xml:space="preserve">limited </w:t>
      </w:r>
      <w:r w:rsidR="00BB5747">
        <w:rPr>
          <w:rFonts w:ascii="Arial" w:hAnsi="Arial" w:cs="Arial"/>
          <w:sz w:val="22"/>
          <w:szCs w:val="22"/>
        </w:rPr>
        <w:t xml:space="preserve">signs of strategic buying emerging </w:t>
      </w:r>
      <w:r w:rsidR="00B71BCB">
        <w:rPr>
          <w:rFonts w:ascii="Arial" w:hAnsi="Arial" w:cs="Arial"/>
          <w:sz w:val="22"/>
          <w:szCs w:val="22"/>
        </w:rPr>
        <w:t>at the mid and lower end of the market</w:t>
      </w:r>
      <w:r w:rsidR="006E0EF8">
        <w:rPr>
          <w:rFonts w:ascii="Arial" w:hAnsi="Arial" w:cs="Arial"/>
          <w:sz w:val="22"/>
          <w:szCs w:val="22"/>
        </w:rPr>
        <w:t>,</w:t>
      </w:r>
      <w:r w:rsidR="00B71BCB">
        <w:rPr>
          <w:rFonts w:ascii="Arial" w:hAnsi="Arial" w:cs="Arial"/>
          <w:sz w:val="22"/>
          <w:szCs w:val="22"/>
        </w:rPr>
        <w:t xml:space="preserve"> which suggests some are thinking ahead and </w:t>
      </w:r>
      <w:r w:rsidR="00BB5747">
        <w:rPr>
          <w:rFonts w:ascii="Arial" w:hAnsi="Arial" w:cs="Arial"/>
          <w:sz w:val="22"/>
          <w:szCs w:val="22"/>
        </w:rPr>
        <w:t>positioning themselves for the next round of growth.</w:t>
      </w:r>
      <w:r w:rsidR="00FB1C9E">
        <w:rPr>
          <w:rFonts w:ascii="Arial" w:hAnsi="Arial" w:cs="Arial"/>
          <w:sz w:val="22"/>
          <w:szCs w:val="22"/>
        </w:rPr>
        <w:t>”</w:t>
      </w:r>
    </w:p>
    <w:p w14:paraId="6247D2F1" w14:textId="77777777" w:rsidR="00BD1A26" w:rsidRDefault="00BD1A26" w:rsidP="003E66BB">
      <w:pPr>
        <w:pStyle w:val="NoSpacing"/>
        <w:spacing w:after="240" w:line="360" w:lineRule="auto"/>
        <w:rPr>
          <w:rFonts w:ascii="Arial" w:hAnsi="Arial" w:cs="Arial"/>
          <w:sz w:val="22"/>
          <w:szCs w:val="22"/>
        </w:rPr>
      </w:pPr>
    </w:p>
    <w:p w14:paraId="65427D72" w14:textId="77777777" w:rsidR="00B71BCB" w:rsidRPr="00B71BCB" w:rsidRDefault="00B71BCB" w:rsidP="003E66BB">
      <w:pPr>
        <w:pStyle w:val="NoSpacing"/>
        <w:spacing w:after="240" w:line="360" w:lineRule="auto"/>
        <w:rPr>
          <w:rFonts w:ascii="Arial" w:hAnsi="Arial" w:cs="Arial"/>
          <w:b/>
          <w:sz w:val="22"/>
          <w:szCs w:val="22"/>
        </w:rPr>
      </w:pPr>
      <w:r>
        <w:rPr>
          <w:rFonts w:ascii="Arial" w:hAnsi="Arial" w:cs="Arial"/>
          <w:b/>
          <w:sz w:val="22"/>
          <w:szCs w:val="22"/>
        </w:rPr>
        <w:lastRenderedPageBreak/>
        <w:t>Who’s buying?</w:t>
      </w:r>
    </w:p>
    <w:p w14:paraId="65427D73" w14:textId="77777777" w:rsidR="00BB5747" w:rsidRDefault="006F5EBA" w:rsidP="003E66BB">
      <w:pPr>
        <w:pStyle w:val="NoSpacing"/>
        <w:spacing w:after="240" w:line="360" w:lineRule="auto"/>
        <w:rPr>
          <w:rFonts w:ascii="Arial" w:hAnsi="Arial" w:cs="Arial"/>
          <w:sz w:val="22"/>
          <w:szCs w:val="22"/>
        </w:rPr>
      </w:pPr>
      <w:r>
        <w:rPr>
          <w:rFonts w:ascii="Arial" w:hAnsi="Arial" w:cs="Arial"/>
          <w:sz w:val="22"/>
          <w:szCs w:val="22"/>
        </w:rPr>
        <w:t>Industry acquirers continue to account for the vast majority of deals, accounting for 82% of total deal value in Q2, and 77% for 1H 2015, on par with 1H 2014.</w:t>
      </w:r>
    </w:p>
    <w:p w14:paraId="65427D74" w14:textId="77777777" w:rsidR="00FE1787" w:rsidRDefault="00FE1787" w:rsidP="003E66BB">
      <w:pPr>
        <w:pStyle w:val="NoSpacing"/>
        <w:spacing w:after="240" w:line="360" w:lineRule="auto"/>
        <w:rPr>
          <w:rFonts w:ascii="Arial" w:hAnsi="Arial" w:cs="Arial"/>
          <w:sz w:val="22"/>
          <w:szCs w:val="22"/>
        </w:rPr>
      </w:pPr>
      <w:r>
        <w:rPr>
          <w:rFonts w:ascii="Arial" w:hAnsi="Arial" w:cs="Arial"/>
          <w:sz w:val="22"/>
          <w:szCs w:val="22"/>
        </w:rPr>
        <w:t xml:space="preserve">Activity by financial investors retreated slightly, </w:t>
      </w:r>
      <w:r w:rsidR="009118D9">
        <w:rPr>
          <w:rFonts w:ascii="Arial" w:hAnsi="Arial" w:cs="Arial"/>
          <w:sz w:val="22"/>
          <w:szCs w:val="22"/>
        </w:rPr>
        <w:t xml:space="preserve">accounting </w:t>
      </w:r>
      <w:r>
        <w:rPr>
          <w:rFonts w:ascii="Arial" w:hAnsi="Arial" w:cs="Arial"/>
          <w:sz w:val="22"/>
          <w:szCs w:val="22"/>
        </w:rPr>
        <w:t>for 17% of deals by volume in Q2. However, financial investors and other buyers from outside the sector accounted for just under a third of deal volumes for 1H 2105.</w:t>
      </w:r>
    </w:p>
    <w:p w14:paraId="65427D75" w14:textId="77777777" w:rsidR="009118D9" w:rsidRDefault="009118D9" w:rsidP="003E66BB">
      <w:pPr>
        <w:pStyle w:val="NoSpacing"/>
        <w:spacing w:after="240" w:line="360" w:lineRule="auto"/>
        <w:rPr>
          <w:rFonts w:ascii="Arial" w:hAnsi="Arial" w:cs="Arial"/>
          <w:sz w:val="22"/>
          <w:szCs w:val="22"/>
        </w:rPr>
      </w:pPr>
      <w:r>
        <w:rPr>
          <w:rFonts w:ascii="Arial" w:hAnsi="Arial" w:cs="Arial"/>
          <w:sz w:val="22"/>
          <w:szCs w:val="22"/>
        </w:rPr>
        <w:t>Throughout Q1 and Q2 2015, there have been more mergers among mid-tiers, combining expertise and achieving economies of scale to reduce costs.</w:t>
      </w:r>
    </w:p>
    <w:p w14:paraId="65427D76" w14:textId="77777777" w:rsidR="00BB6ED4" w:rsidRDefault="00BB6ED4" w:rsidP="003E66BB">
      <w:pPr>
        <w:pStyle w:val="NoSpacing"/>
        <w:spacing w:after="240" w:line="360" w:lineRule="auto"/>
        <w:rPr>
          <w:rFonts w:ascii="Arial" w:hAnsi="Arial" w:cs="Arial"/>
          <w:b/>
          <w:sz w:val="22"/>
          <w:szCs w:val="22"/>
        </w:rPr>
      </w:pPr>
      <w:r>
        <w:rPr>
          <w:rFonts w:ascii="Arial" w:hAnsi="Arial" w:cs="Arial"/>
          <w:b/>
          <w:sz w:val="22"/>
          <w:szCs w:val="22"/>
        </w:rPr>
        <w:t>Gold, coal, base metals in buyer spotlight</w:t>
      </w:r>
    </w:p>
    <w:p w14:paraId="65427D77" w14:textId="77777777" w:rsidR="00A95B5F" w:rsidRDefault="00A95B5F" w:rsidP="003E66BB">
      <w:pPr>
        <w:pStyle w:val="NoSpacing"/>
        <w:spacing w:after="240" w:line="360" w:lineRule="auto"/>
        <w:rPr>
          <w:rFonts w:ascii="Arial" w:hAnsi="Arial" w:cs="Arial"/>
          <w:sz w:val="22"/>
          <w:szCs w:val="22"/>
        </w:rPr>
      </w:pPr>
      <w:r>
        <w:rPr>
          <w:rFonts w:ascii="Arial" w:hAnsi="Arial" w:cs="Arial"/>
          <w:sz w:val="22"/>
          <w:szCs w:val="22"/>
        </w:rPr>
        <w:t>G</w:t>
      </w:r>
      <w:r w:rsidR="00BB6ED4">
        <w:rPr>
          <w:rFonts w:ascii="Arial" w:hAnsi="Arial" w:cs="Arial"/>
          <w:sz w:val="22"/>
          <w:szCs w:val="22"/>
        </w:rPr>
        <w:t xml:space="preserve">old accounted for </w:t>
      </w:r>
      <w:r>
        <w:rPr>
          <w:rFonts w:ascii="Arial" w:hAnsi="Arial" w:cs="Arial"/>
          <w:sz w:val="22"/>
          <w:szCs w:val="22"/>
        </w:rPr>
        <w:t>29% of all deals by volume in Q2</w:t>
      </w:r>
      <w:r w:rsidR="006E0EF8">
        <w:rPr>
          <w:rFonts w:ascii="Arial" w:hAnsi="Arial" w:cs="Arial"/>
          <w:sz w:val="22"/>
          <w:szCs w:val="22"/>
        </w:rPr>
        <w:t>,</w:t>
      </w:r>
      <w:r w:rsidR="001631D8">
        <w:rPr>
          <w:rFonts w:ascii="Arial" w:hAnsi="Arial" w:cs="Arial"/>
          <w:sz w:val="22"/>
          <w:szCs w:val="22"/>
        </w:rPr>
        <w:t xml:space="preserve"> and there continues to be more a</w:t>
      </w:r>
      <w:r>
        <w:rPr>
          <w:rFonts w:ascii="Arial" w:hAnsi="Arial" w:cs="Arial"/>
          <w:sz w:val="22"/>
          <w:szCs w:val="22"/>
        </w:rPr>
        <w:t>ctivity between gold</w:t>
      </w:r>
      <w:r w:rsidR="001631D8">
        <w:rPr>
          <w:rFonts w:ascii="Arial" w:hAnsi="Arial" w:cs="Arial"/>
          <w:sz w:val="22"/>
          <w:szCs w:val="22"/>
        </w:rPr>
        <w:t xml:space="preserve"> pure</w:t>
      </w:r>
      <w:r w:rsidR="006E0EF8">
        <w:rPr>
          <w:rFonts w:ascii="Arial" w:hAnsi="Arial" w:cs="Arial"/>
          <w:sz w:val="22"/>
          <w:szCs w:val="22"/>
        </w:rPr>
        <w:t>-</w:t>
      </w:r>
      <w:r w:rsidR="001631D8">
        <w:rPr>
          <w:rFonts w:ascii="Arial" w:hAnsi="Arial" w:cs="Arial"/>
          <w:sz w:val="22"/>
          <w:szCs w:val="22"/>
        </w:rPr>
        <w:t>play</w:t>
      </w:r>
      <w:r>
        <w:rPr>
          <w:rFonts w:ascii="Arial" w:hAnsi="Arial" w:cs="Arial"/>
          <w:sz w:val="22"/>
          <w:szCs w:val="22"/>
        </w:rPr>
        <w:t xml:space="preserve"> </w:t>
      </w:r>
      <w:r w:rsidR="001631D8">
        <w:rPr>
          <w:rFonts w:ascii="Arial" w:hAnsi="Arial" w:cs="Arial"/>
          <w:sz w:val="22"/>
          <w:szCs w:val="22"/>
        </w:rPr>
        <w:t>companies seeking partnerships to position for growth and leverage synergies to advance projects.</w:t>
      </w:r>
    </w:p>
    <w:p w14:paraId="65427D78" w14:textId="77777777" w:rsidR="00A95B5F" w:rsidRDefault="00A95B5F" w:rsidP="003E66BB">
      <w:pPr>
        <w:pStyle w:val="NoSpacing"/>
        <w:spacing w:after="240" w:line="360" w:lineRule="auto"/>
        <w:rPr>
          <w:rFonts w:ascii="Arial" w:hAnsi="Arial" w:cs="Arial"/>
          <w:kern w:val="36"/>
          <w:sz w:val="22"/>
          <w:szCs w:val="22"/>
        </w:rPr>
      </w:pPr>
      <w:r>
        <w:rPr>
          <w:rFonts w:ascii="Arial" w:hAnsi="Arial" w:cs="Arial"/>
          <w:sz w:val="22"/>
          <w:szCs w:val="22"/>
        </w:rPr>
        <w:t xml:space="preserve">Excluding the </w:t>
      </w:r>
      <w:r>
        <w:rPr>
          <w:rFonts w:ascii="Arial" w:hAnsi="Arial" w:cs="Arial"/>
          <w:kern w:val="36"/>
          <w:sz w:val="22"/>
          <w:szCs w:val="22"/>
        </w:rPr>
        <w:t>BHP Billiton demerger of South32, coal accounted for 43% of deals by value in the quarter</w:t>
      </w:r>
      <w:r w:rsidR="006E0EF8">
        <w:rPr>
          <w:rFonts w:ascii="Arial" w:hAnsi="Arial" w:cs="Arial"/>
          <w:kern w:val="36"/>
          <w:sz w:val="22"/>
          <w:szCs w:val="22"/>
        </w:rPr>
        <w:t xml:space="preserve"> —</w:t>
      </w:r>
      <w:r>
        <w:rPr>
          <w:rFonts w:ascii="Arial" w:hAnsi="Arial" w:cs="Arial"/>
          <w:kern w:val="36"/>
          <w:sz w:val="22"/>
          <w:szCs w:val="22"/>
        </w:rPr>
        <w:t xml:space="preserve"> however</w:t>
      </w:r>
      <w:r w:rsidR="006E0EF8">
        <w:rPr>
          <w:rFonts w:ascii="Arial" w:hAnsi="Arial" w:cs="Arial"/>
          <w:kern w:val="36"/>
          <w:sz w:val="22"/>
          <w:szCs w:val="22"/>
        </w:rPr>
        <w:t>,</w:t>
      </w:r>
      <w:r>
        <w:rPr>
          <w:rFonts w:ascii="Arial" w:hAnsi="Arial" w:cs="Arial"/>
          <w:kern w:val="36"/>
          <w:sz w:val="22"/>
          <w:szCs w:val="22"/>
        </w:rPr>
        <w:t xml:space="preserve"> this </w:t>
      </w:r>
      <w:r w:rsidR="006E0EF8">
        <w:rPr>
          <w:rFonts w:ascii="Arial" w:hAnsi="Arial" w:cs="Arial"/>
          <w:kern w:val="36"/>
          <w:sz w:val="22"/>
          <w:szCs w:val="22"/>
        </w:rPr>
        <w:t>included</w:t>
      </w:r>
      <w:r>
        <w:rPr>
          <w:rFonts w:ascii="Arial" w:hAnsi="Arial" w:cs="Arial"/>
          <w:kern w:val="36"/>
          <w:sz w:val="22"/>
          <w:szCs w:val="22"/>
        </w:rPr>
        <w:t xml:space="preserve"> two megadeals</w:t>
      </w:r>
      <w:r w:rsidR="006E0EF8">
        <w:rPr>
          <w:rFonts w:ascii="Arial" w:hAnsi="Arial" w:cs="Arial"/>
          <w:kern w:val="36"/>
          <w:sz w:val="22"/>
          <w:szCs w:val="22"/>
        </w:rPr>
        <w:t>,</w:t>
      </w:r>
      <w:r>
        <w:rPr>
          <w:rFonts w:ascii="Arial" w:hAnsi="Arial" w:cs="Arial"/>
          <w:kern w:val="36"/>
          <w:sz w:val="22"/>
          <w:szCs w:val="22"/>
        </w:rPr>
        <w:t xml:space="preserve"> with the vast majority of M&amp;A being low-value deals reflecting the distress in the sector.</w:t>
      </w:r>
    </w:p>
    <w:p w14:paraId="65427D79" w14:textId="77777777" w:rsidR="00A95B5F" w:rsidRDefault="00A95B5F" w:rsidP="003E66BB">
      <w:pPr>
        <w:pStyle w:val="NoSpacing"/>
        <w:spacing w:after="240" w:line="360" w:lineRule="auto"/>
        <w:rPr>
          <w:rFonts w:ascii="Arial" w:hAnsi="Arial" w:cs="Arial"/>
          <w:sz w:val="22"/>
          <w:szCs w:val="22"/>
        </w:rPr>
      </w:pPr>
      <w:r>
        <w:rPr>
          <w:rFonts w:ascii="Arial" w:hAnsi="Arial" w:cs="Arial"/>
          <w:sz w:val="22"/>
          <w:szCs w:val="22"/>
        </w:rPr>
        <w:t>Downham says</w:t>
      </w:r>
      <w:r w:rsidR="0042322D">
        <w:rPr>
          <w:rFonts w:ascii="Arial" w:hAnsi="Arial" w:cs="Arial"/>
          <w:sz w:val="22"/>
          <w:szCs w:val="22"/>
        </w:rPr>
        <w:t xml:space="preserve">, </w:t>
      </w:r>
      <w:r>
        <w:rPr>
          <w:rFonts w:ascii="Arial" w:hAnsi="Arial" w:cs="Arial"/>
          <w:sz w:val="22"/>
          <w:szCs w:val="22"/>
        </w:rPr>
        <w:t>“Several coal and gold assets</w:t>
      </w:r>
      <w:r w:rsidR="001631D8">
        <w:rPr>
          <w:rFonts w:ascii="Arial" w:hAnsi="Arial" w:cs="Arial"/>
          <w:sz w:val="22"/>
          <w:szCs w:val="22"/>
        </w:rPr>
        <w:t xml:space="preserve"> </w:t>
      </w:r>
      <w:r w:rsidR="003D3E28">
        <w:rPr>
          <w:rFonts w:ascii="Arial" w:hAnsi="Arial" w:cs="Arial"/>
          <w:sz w:val="22"/>
          <w:szCs w:val="22"/>
        </w:rPr>
        <w:t xml:space="preserve">that have been marked </w:t>
      </w:r>
      <w:r w:rsidR="001631D8">
        <w:rPr>
          <w:rFonts w:ascii="Arial" w:hAnsi="Arial" w:cs="Arial"/>
          <w:sz w:val="22"/>
          <w:szCs w:val="22"/>
        </w:rPr>
        <w:t xml:space="preserve">for divestment </w:t>
      </w:r>
      <w:r w:rsidR="003D3E28">
        <w:rPr>
          <w:rFonts w:ascii="Arial" w:hAnsi="Arial" w:cs="Arial"/>
          <w:sz w:val="22"/>
          <w:szCs w:val="22"/>
        </w:rPr>
        <w:t>by the multi-asset producers</w:t>
      </w:r>
      <w:r w:rsidR="001631D8">
        <w:rPr>
          <w:rFonts w:ascii="Arial" w:hAnsi="Arial" w:cs="Arial"/>
          <w:sz w:val="22"/>
          <w:szCs w:val="22"/>
        </w:rPr>
        <w:t xml:space="preserve"> </w:t>
      </w:r>
      <w:r w:rsidR="003D3E28">
        <w:rPr>
          <w:rFonts w:ascii="Arial" w:hAnsi="Arial" w:cs="Arial"/>
          <w:sz w:val="22"/>
          <w:szCs w:val="22"/>
        </w:rPr>
        <w:t>await</w:t>
      </w:r>
      <w:r w:rsidR="001631D8">
        <w:rPr>
          <w:rFonts w:ascii="Arial" w:hAnsi="Arial" w:cs="Arial"/>
          <w:sz w:val="22"/>
          <w:szCs w:val="22"/>
        </w:rPr>
        <w:t xml:space="preserve"> completion or remain without buyers, so we expect further deals in these commodities in the remainder of 2015.</w:t>
      </w:r>
    </w:p>
    <w:p w14:paraId="65427D7A" w14:textId="77777777" w:rsidR="001631D8" w:rsidRDefault="001631D8" w:rsidP="003E66BB">
      <w:pPr>
        <w:pStyle w:val="NoSpacing"/>
        <w:spacing w:after="240" w:line="360" w:lineRule="auto"/>
        <w:rPr>
          <w:rFonts w:ascii="Arial" w:hAnsi="Arial" w:cs="Arial"/>
          <w:sz w:val="22"/>
          <w:szCs w:val="22"/>
        </w:rPr>
      </w:pPr>
      <w:r>
        <w:rPr>
          <w:rFonts w:ascii="Arial" w:hAnsi="Arial" w:cs="Arial"/>
          <w:sz w:val="22"/>
          <w:szCs w:val="22"/>
        </w:rPr>
        <w:t>“Base metals are touted as the most attractive acquisition targets in the short term due to favorable supply-demand economics</w:t>
      </w:r>
      <w:r w:rsidR="0042322D">
        <w:rPr>
          <w:rFonts w:ascii="Arial" w:hAnsi="Arial" w:cs="Arial"/>
          <w:sz w:val="22"/>
          <w:szCs w:val="22"/>
        </w:rPr>
        <w:t>,</w:t>
      </w:r>
      <w:r>
        <w:rPr>
          <w:rFonts w:ascii="Arial" w:hAnsi="Arial" w:cs="Arial"/>
          <w:sz w:val="22"/>
          <w:szCs w:val="22"/>
        </w:rPr>
        <w:t xml:space="preserve"> and we expect deal activity to increasingly reflect this.”</w:t>
      </w:r>
    </w:p>
    <w:p w14:paraId="65427D7B" w14:textId="77777777" w:rsidR="001631D8" w:rsidRPr="00EE5AA8" w:rsidRDefault="00B5316A" w:rsidP="003E66BB">
      <w:pPr>
        <w:pStyle w:val="NoSpacing"/>
        <w:spacing w:after="240" w:line="360" w:lineRule="auto"/>
        <w:rPr>
          <w:rFonts w:ascii="Arial" w:hAnsi="Arial" w:cs="Arial"/>
          <w:b/>
          <w:sz w:val="22"/>
          <w:szCs w:val="22"/>
        </w:rPr>
      </w:pPr>
      <w:r>
        <w:rPr>
          <w:rFonts w:ascii="Arial" w:hAnsi="Arial" w:cs="Arial"/>
          <w:b/>
          <w:sz w:val="22"/>
          <w:szCs w:val="22"/>
        </w:rPr>
        <w:t>Uptick in emerging and frontier markets activity</w:t>
      </w:r>
    </w:p>
    <w:p w14:paraId="65427D7C" w14:textId="77777777" w:rsidR="0074176D" w:rsidRDefault="0074176D" w:rsidP="003E66BB">
      <w:pPr>
        <w:pStyle w:val="NoSpacing"/>
        <w:spacing w:after="240" w:line="360" w:lineRule="auto"/>
        <w:rPr>
          <w:rFonts w:ascii="Arial" w:hAnsi="Arial" w:cs="Arial"/>
          <w:sz w:val="22"/>
          <w:szCs w:val="22"/>
        </w:rPr>
      </w:pPr>
      <w:r>
        <w:rPr>
          <w:rFonts w:ascii="Arial" w:hAnsi="Arial" w:cs="Arial"/>
          <w:sz w:val="22"/>
          <w:szCs w:val="22"/>
        </w:rPr>
        <w:t>While investors continue to be risk-averse, preferring investment in domestic and/or local regional acquisitions, there has been a slight increase in emerging and frontier markets for precious and base metal exploration assets to date in 2015.</w:t>
      </w:r>
    </w:p>
    <w:p w14:paraId="65427D7D" w14:textId="77777777" w:rsidR="00FB1C9E" w:rsidRDefault="0074176D" w:rsidP="003E66BB">
      <w:pPr>
        <w:pStyle w:val="NoSpacing"/>
        <w:spacing w:after="240" w:line="360" w:lineRule="auto"/>
        <w:rPr>
          <w:rFonts w:ascii="Arial" w:hAnsi="Arial" w:cs="Arial"/>
          <w:sz w:val="22"/>
          <w:szCs w:val="22"/>
        </w:rPr>
      </w:pPr>
      <w:r>
        <w:rPr>
          <w:rFonts w:ascii="Arial" w:hAnsi="Arial" w:cs="Arial"/>
          <w:sz w:val="22"/>
          <w:szCs w:val="22"/>
        </w:rPr>
        <w:lastRenderedPageBreak/>
        <w:t>Deals in emerging and frontier markets accounted for 35% of deals by volume and 26% by value in Q2, continu</w:t>
      </w:r>
      <w:r w:rsidR="00510A6C">
        <w:rPr>
          <w:rFonts w:ascii="Arial" w:hAnsi="Arial" w:cs="Arial"/>
          <w:sz w:val="22"/>
          <w:szCs w:val="22"/>
        </w:rPr>
        <w:t>ing a trend seen in Q1 2015. For 1H 2015</w:t>
      </w:r>
      <w:r w:rsidR="00BD7538">
        <w:rPr>
          <w:rFonts w:ascii="Arial" w:hAnsi="Arial" w:cs="Arial"/>
          <w:sz w:val="22"/>
          <w:szCs w:val="22"/>
        </w:rPr>
        <w:t>,</w:t>
      </w:r>
      <w:r w:rsidR="00510A6C">
        <w:rPr>
          <w:rFonts w:ascii="Arial" w:hAnsi="Arial" w:cs="Arial"/>
          <w:sz w:val="22"/>
          <w:szCs w:val="22"/>
        </w:rPr>
        <w:t xml:space="preserve"> there was almost US$2.7b of investment into copper and gold in these markets, compared to US$1.1b in the same period in 2014.</w:t>
      </w:r>
    </w:p>
    <w:p w14:paraId="160A1289" w14:textId="083D3F04" w:rsidR="00EC2DD9" w:rsidRDefault="00EC2DD9" w:rsidP="003E66BB">
      <w:pPr>
        <w:pStyle w:val="NoSpacing"/>
        <w:spacing w:after="240" w:line="360" w:lineRule="auto"/>
        <w:rPr>
          <w:rFonts w:ascii="Arial" w:hAnsi="Arial" w:cs="Arial"/>
          <w:sz w:val="22"/>
          <w:szCs w:val="22"/>
        </w:rPr>
      </w:pPr>
      <w:r w:rsidRPr="00EC2DD9">
        <w:rPr>
          <w:rFonts w:ascii="Arial" w:hAnsi="Arial" w:cs="Arial"/>
          <w:sz w:val="22"/>
          <w:szCs w:val="22"/>
        </w:rPr>
        <w:t>"The Russian and CIS mining industry saw its M&amp;A market decrease in 1H 2015 year on year,” notes Evgeny Khrustalev, Partner and CIS M&amp;M leader. “The total value of transactions dropped to US$146m in 1H 2015 from US$249m in 1H 2014. None of the deals involved foreign investors, although Chinese investors have shown heightened interest in the Russian mining industry in recent months, and in gold mining assets in particular."</w:t>
      </w:r>
    </w:p>
    <w:p w14:paraId="65427D81" w14:textId="77777777" w:rsidR="00DA12F4" w:rsidRDefault="00DA12F4" w:rsidP="00EA253C">
      <w:pPr>
        <w:spacing w:line="360" w:lineRule="auto"/>
        <w:rPr>
          <w:rFonts w:ascii="Arial" w:hAnsi="Arial" w:cs="Arial"/>
          <w:b/>
          <w:bCs/>
          <w:sz w:val="18"/>
          <w:szCs w:val="18"/>
        </w:rPr>
      </w:pPr>
    </w:p>
    <w:p w14:paraId="270B1B00" w14:textId="6078321A" w:rsidR="00EC2DD9" w:rsidRPr="00EC2DD9" w:rsidRDefault="00EC2DD9" w:rsidP="00EC2DD9">
      <w:pPr>
        <w:spacing w:line="360" w:lineRule="auto"/>
        <w:rPr>
          <w:rFonts w:ascii="Arial" w:hAnsi="Arial" w:cs="Arial"/>
          <w:b/>
          <w:bCs/>
          <w:sz w:val="18"/>
          <w:szCs w:val="18"/>
        </w:rPr>
      </w:pPr>
      <w:r w:rsidRPr="00EC2DD9">
        <w:rPr>
          <w:rFonts w:ascii="Arial" w:hAnsi="Arial" w:cs="Arial"/>
          <w:b/>
          <w:bCs/>
          <w:sz w:val="18"/>
          <w:szCs w:val="18"/>
        </w:rPr>
        <w:t xml:space="preserve">About EY </w:t>
      </w:r>
    </w:p>
    <w:p w14:paraId="70179D73" w14:textId="77777777" w:rsidR="00EC2DD9" w:rsidRPr="00EC2DD9" w:rsidRDefault="00EC2DD9" w:rsidP="00EC2DD9">
      <w:pPr>
        <w:spacing w:line="360" w:lineRule="auto"/>
        <w:rPr>
          <w:rFonts w:ascii="Arial" w:hAnsi="Arial" w:cs="Arial"/>
          <w:bCs/>
          <w:sz w:val="18"/>
          <w:szCs w:val="18"/>
        </w:rPr>
      </w:pPr>
      <w:r w:rsidRPr="00EC2DD9">
        <w:rPr>
          <w:rFonts w:ascii="Arial" w:hAnsi="Arial" w:cs="Arial"/>
          <w:bCs/>
          <w:sz w:val="18"/>
          <w:szCs w:val="18"/>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14:paraId="5500256F" w14:textId="77777777" w:rsidR="00EC2DD9" w:rsidRPr="00EC2DD9" w:rsidRDefault="00EC2DD9" w:rsidP="00EC2DD9">
      <w:pPr>
        <w:spacing w:line="360" w:lineRule="auto"/>
        <w:rPr>
          <w:rFonts w:ascii="Arial" w:hAnsi="Arial" w:cs="Arial"/>
          <w:bCs/>
          <w:sz w:val="18"/>
          <w:szCs w:val="18"/>
        </w:rPr>
      </w:pPr>
    </w:p>
    <w:p w14:paraId="01A8F94E" w14:textId="77777777" w:rsidR="00EC2DD9" w:rsidRPr="00EC2DD9" w:rsidRDefault="00EC2DD9" w:rsidP="00EC2DD9">
      <w:pPr>
        <w:spacing w:line="360" w:lineRule="auto"/>
        <w:rPr>
          <w:rFonts w:ascii="Arial" w:hAnsi="Arial" w:cs="Arial"/>
          <w:bCs/>
          <w:sz w:val="18"/>
          <w:szCs w:val="18"/>
        </w:rPr>
      </w:pPr>
      <w:r w:rsidRPr="00EC2DD9">
        <w:rPr>
          <w:rFonts w:ascii="Arial" w:hAnsi="Arial" w:cs="Arial"/>
          <w:bCs/>
          <w:sz w:val="18"/>
          <w:szCs w:val="18"/>
        </w:rPr>
        <w:t xml:space="preserve">EY works together with companies across the CIS and assists them in realizing their business goals. 4,500 professionals work at 20 CIS offices (in Moscow, St. Petersburg, Novosibirsk, Ekaterinburg, Kazan, Krasnodar, Rostov-on-Don, Togliatti, Vladivostok, Yuzhno-Sakhalinsk, Almaty, Astana, Atyrau, Bishkek, Baku, Kyiv, Tashkent, Tbilisi, Yerevan, and Minsk). </w:t>
      </w:r>
    </w:p>
    <w:p w14:paraId="4A70E0FB" w14:textId="77777777" w:rsidR="00EC2DD9" w:rsidRPr="00EC2DD9" w:rsidRDefault="00EC2DD9" w:rsidP="00EC2DD9">
      <w:pPr>
        <w:spacing w:line="360" w:lineRule="auto"/>
        <w:rPr>
          <w:rFonts w:ascii="Arial" w:hAnsi="Arial" w:cs="Arial"/>
          <w:bCs/>
          <w:sz w:val="18"/>
          <w:szCs w:val="18"/>
        </w:rPr>
      </w:pPr>
    </w:p>
    <w:p w14:paraId="6773C723" w14:textId="77777777" w:rsidR="00EC2DD9" w:rsidRPr="00EC2DD9" w:rsidRDefault="00EC2DD9" w:rsidP="00EC2DD9">
      <w:pPr>
        <w:spacing w:line="360" w:lineRule="auto"/>
        <w:rPr>
          <w:rFonts w:ascii="Arial" w:hAnsi="Arial" w:cs="Arial"/>
          <w:bCs/>
          <w:sz w:val="18"/>
          <w:szCs w:val="18"/>
        </w:rPr>
      </w:pPr>
      <w:r w:rsidRPr="00EC2DD9">
        <w:rPr>
          <w:rFonts w:ascii="Arial" w:hAnsi="Arial" w:cs="Arial"/>
          <w:bCs/>
          <w:sz w:val="18"/>
          <w:szCs w:val="18"/>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14:paraId="5FAB79BB" w14:textId="77777777" w:rsidR="00EC2DD9" w:rsidRPr="00EC2DD9" w:rsidRDefault="00EC2DD9" w:rsidP="00EC2DD9">
      <w:pPr>
        <w:spacing w:line="360" w:lineRule="auto"/>
        <w:rPr>
          <w:rFonts w:ascii="Arial" w:hAnsi="Arial" w:cs="Arial"/>
          <w:bCs/>
          <w:sz w:val="18"/>
          <w:szCs w:val="18"/>
        </w:rPr>
      </w:pPr>
    </w:p>
    <w:p w14:paraId="5069E9FA" w14:textId="77777777" w:rsidR="00EC2DD9" w:rsidRPr="0071481A" w:rsidRDefault="00EC2DD9" w:rsidP="00EC2DD9">
      <w:pPr>
        <w:spacing w:line="360" w:lineRule="auto"/>
        <w:rPr>
          <w:rFonts w:ascii="Arial" w:hAnsi="Arial" w:cs="Arial"/>
          <w:bCs/>
          <w:i/>
          <w:sz w:val="18"/>
          <w:szCs w:val="18"/>
        </w:rPr>
      </w:pPr>
      <w:r w:rsidRPr="0071481A">
        <w:rPr>
          <w:rFonts w:ascii="Arial" w:hAnsi="Arial" w:cs="Arial"/>
          <w:bCs/>
          <w:i/>
          <w:sz w:val="18"/>
          <w:szCs w:val="18"/>
        </w:rPr>
        <w:t>This news release has been issued by EYGM Limited, a member of the global EY organization that also does not provide any services to clients.</w:t>
      </w:r>
    </w:p>
    <w:p w14:paraId="65427D88" w14:textId="77777777" w:rsidR="0015145D" w:rsidRDefault="0015145D" w:rsidP="00EA253C">
      <w:pPr>
        <w:spacing w:line="360" w:lineRule="auto"/>
        <w:rPr>
          <w:rFonts w:ascii="Arial" w:hAnsi="Arial" w:cs="Arial"/>
          <w:color w:val="000000"/>
          <w:sz w:val="18"/>
          <w:szCs w:val="18"/>
          <w:lang w:eastAsia="en-GB"/>
        </w:rPr>
      </w:pPr>
    </w:p>
    <w:p w14:paraId="65427D89" w14:textId="77777777" w:rsidR="0015145D" w:rsidRPr="00B00B58" w:rsidRDefault="0015145D" w:rsidP="00EA253C">
      <w:pPr>
        <w:spacing w:line="360" w:lineRule="auto"/>
        <w:rPr>
          <w:rFonts w:ascii="Arial" w:hAnsi="Arial" w:cs="Arial"/>
          <w:b/>
          <w:color w:val="000000"/>
          <w:sz w:val="18"/>
          <w:szCs w:val="18"/>
          <w:lang w:eastAsia="en-GB"/>
        </w:rPr>
      </w:pPr>
      <w:r w:rsidRPr="00B00B58">
        <w:rPr>
          <w:rFonts w:ascii="Arial" w:hAnsi="Arial" w:cs="Arial"/>
          <w:b/>
          <w:color w:val="000000"/>
          <w:sz w:val="18"/>
          <w:szCs w:val="18"/>
          <w:lang w:eastAsia="en-GB"/>
        </w:rPr>
        <w:t>About the report</w:t>
      </w:r>
    </w:p>
    <w:p w14:paraId="65427D8A" w14:textId="77777777" w:rsidR="00CE2E9D" w:rsidRPr="00CE2E9D" w:rsidRDefault="00CE2E9D" w:rsidP="00CE2E9D">
      <w:pPr>
        <w:spacing w:line="360" w:lineRule="auto"/>
        <w:rPr>
          <w:rFonts w:ascii="Arial" w:hAnsi="Arial" w:cs="Arial"/>
          <w:sz w:val="18"/>
          <w:szCs w:val="18"/>
        </w:rPr>
      </w:pPr>
      <w:r w:rsidRPr="00CE2E9D">
        <w:rPr>
          <w:rFonts w:ascii="Arial" w:hAnsi="Arial" w:cs="Arial"/>
          <w:sz w:val="18"/>
          <w:szCs w:val="18"/>
        </w:rPr>
        <w:t>All mergers and acquisitions data</w:t>
      </w:r>
      <w:r>
        <w:rPr>
          <w:rFonts w:ascii="Arial" w:hAnsi="Arial" w:cs="Arial"/>
          <w:sz w:val="18"/>
          <w:szCs w:val="18"/>
        </w:rPr>
        <w:t>,</w:t>
      </w:r>
      <w:r w:rsidRPr="00CE2E9D">
        <w:rPr>
          <w:rFonts w:ascii="Arial" w:hAnsi="Arial" w:cs="Arial"/>
          <w:sz w:val="18"/>
          <w:szCs w:val="18"/>
        </w:rPr>
        <w:t xml:space="preserve"> and capital raising data was extracted from ThomsonOne on 1 July 2015, and analyzed by EY. Only completed deals are included in the data and analysis.</w:t>
      </w:r>
    </w:p>
    <w:p w14:paraId="65427D8B" w14:textId="77777777" w:rsidR="0015145D" w:rsidRPr="00CE2E9D" w:rsidRDefault="0015145D" w:rsidP="00CE2E9D">
      <w:pPr>
        <w:spacing w:line="360" w:lineRule="auto"/>
        <w:rPr>
          <w:rFonts w:ascii="Arial" w:hAnsi="Arial" w:cs="Arial"/>
          <w:bCs/>
          <w:sz w:val="18"/>
          <w:szCs w:val="18"/>
        </w:rPr>
      </w:pPr>
    </w:p>
    <w:sectPr w:rsidR="0015145D" w:rsidRPr="00CE2E9D" w:rsidSect="00666632">
      <w:headerReference w:type="even" r:id="rId14"/>
      <w:headerReference w:type="default" r:id="rId15"/>
      <w:headerReference w:type="first" r:id="rId16"/>
      <w:pgSz w:w="11907" w:h="16840" w:code="9"/>
      <w:pgMar w:top="2948" w:right="1276" w:bottom="156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27D92" w14:textId="77777777" w:rsidR="00436F77" w:rsidRDefault="00436F77">
      <w:r>
        <w:separator/>
      </w:r>
    </w:p>
    <w:p w14:paraId="65427D93" w14:textId="77777777" w:rsidR="00436F77" w:rsidRDefault="00436F77"/>
    <w:p w14:paraId="65427D94" w14:textId="77777777" w:rsidR="00436F77" w:rsidRDefault="00436F77"/>
  </w:endnote>
  <w:endnote w:type="continuationSeparator" w:id="0">
    <w:p w14:paraId="65427D95" w14:textId="77777777" w:rsidR="00436F77" w:rsidRDefault="00436F77">
      <w:r>
        <w:continuationSeparator/>
      </w:r>
    </w:p>
    <w:p w14:paraId="65427D96" w14:textId="77777777" w:rsidR="00436F77" w:rsidRDefault="00436F77"/>
    <w:p w14:paraId="65427D97" w14:textId="77777777" w:rsidR="00436F77" w:rsidRDefault="00436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EYInterstate">
    <w:panose1 w:val="02000503020000020004"/>
    <w:charset w:val="CC"/>
    <w:family w:val="auto"/>
    <w:pitch w:val="variable"/>
    <w:sig w:usb0="A00002AF" w:usb1="5000206A"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EYInterstate Light">
    <w:panose1 w:val="02000506000000020004"/>
    <w:charset w:val="CC"/>
    <w:family w:val="auto"/>
    <w:pitch w:val="variable"/>
    <w:sig w:usb0="A00002AF" w:usb1="5000206A" w:usb2="00000000" w:usb3="00000000" w:csb0="000000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27D8C" w14:textId="77777777" w:rsidR="00436F77" w:rsidRDefault="00436F77">
      <w:r>
        <w:separator/>
      </w:r>
    </w:p>
    <w:p w14:paraId="65427D8D" w14:textId="77777777" w:rsidR="00436F77" w:rsidRDefault="00436F77"/>
    <w:p w14:paraId="65427D8E" w14:textId="77777777" w:rsidR="00436F77" w:rsidRDefault="00436F77"/>
  </w:footnote>
  <w:footnote w:type="continuationSeparator" w:id="0">
    <w:p w14:paraId="65427D8F" w14:textId="77777777" w:rsidR="00436F77" w:rsidRDefault="00436F77">
      <w:r>
        <w:continuationSeparator/>
      </w:r>
    </w:p>
    <w:p w14:paraId="65427D90" w14:textId="77777777" w:rsidR="00436F77" w:rsidRDefault="00436F77"/>
    <w:p w14:paraId="65427D91" w14:textId="77777777" w:rsidR="00436F77" w:rsidRDefault="00436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7D98" w14:textId="77777777" w:rsidR="00B43015" w:rsidRDefault="00B43015">
    <w:pPr>
      <w:pStyle w:val="Header"/>
    </w:pPr>
  </w:p>
  <w:p w14:paraId="65427D99" w14:textId="77777777" w:rsidR="00B43015" w:rsidRDefault="00B430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7D9A" w14:textId="37667C66" w:rsidR="00B43015" w:rsidRDefault="00EC2DD9">
    <w:pPr>
      <w:pStyle w:val="EYContinuationheader"/>
    </w:pPr>
    <w:r w:rsidRPr="00917649">
      <w:rPr>
        <w:rFonts w:eastAsia="Calibri" w:cs="Arial"/>
        <w:noProof/>
        <w:szCs w:val="22"/>
        <w:lang w:val="en-US"/>
      </w:rPr>
      <w:drawing>
        <wp:anchor distT="0" distB="0" distL="114300" distR="114300" simplePos="0" relativeHeight="251664384" behindDoc="1" locked="0" layoutInCell="1" allowOverlap="1" wp14:anchorId="192C3916" wp14:editId="54F43372">
          <wp:simplePos x="0" y="0"/>
          <wp:positionH relativeFrom="column">
            <wp:posOffset>4445</wp:posOffset>
          </wp:positionH>
          <wp:positionV relativeFrom="paragraph">
            <wp:posOffset>69838</wp:posOffset>
          </wp:positionV>
          <wp:extent cx="1223645" cy="1028700"/>
          <wp:effectExtent l="0" t="0" r="0" b="0"/>
          <wp:wrapNone/>
          <wp:docPr id="1"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645" cy="1028700"/>
                  </a:xfrm>
                  <a:prstGeom prst="rect">
                    <a:avLst/>
                  </a:prstGeom>
                </pic:spPr>
              </pic:pic>
            </a:graphicData>
          </a:graphic>
        </wp:anchor>
      </w:drawing>
    </w:r>
    <w:r>
      <w:rPr>
        <w:rStyle w:val="PageNumber"/>
      </w:rPr>
      <w:t xml:space="preserve">Page </w:t>
    </w:r>
    <w:r w:rsidR="00B43015">
      <w:rPr>
        <w:rStyle w:val="PageNumber"/>
      </w:rPr>
      <w:fldChar w:fldCharType="begin"/>
    </w:r>
    <w:r w:rsidR="00B43015">
      <w:rPr>
        <w:rStyle w:val="PageNumber"/>
      </w:rPr>
      <w:instrText xml:space="preserve"> PAGE </w:instrText>
    </w:r>
    <w:r w:rsidR="00B43015">
      <w:rPr>
        <w:rStyle w:val="PageNumber"/>
      </w:rPr>
      <w:fldChar w:fldCharType="separate"/>
    </w:r>
    <w:r w:rsidR="00BD5100">
      <w:rPr>
        <w:rStyle w:val="PageNumber"/>
        <w:noProof/>
      </w:rPr>
      <w:t>3</w:t>
    </w:r>
    <w:r w:rsidR="00B43015">
      <w:rPr>
        <w:rStyle w:val="PageNumber"/>
      </w:rPr>
      <w:fldChar w:fldCharType="end"/>
    </w:r>
  </w:p>
  <w:p w14:paraId="65427D9B" w14:textId="71BF22AD" w:rsidR="00B43015" w:rsidRPr="00EC2DD9" w:rsidRDefault="00EC2DD9" w:rsidP="00EC2DD9">
    <w:pPr>
      <w:jc w:val="right"/>
      <w:rPr>
        <w:rFonts w:ascii="Arial" w:hAnsi="Arial" w:cs="Arial"/>
        <w:sz w:val="22"/>
        <w:szCs w:val="22"/>
      </w:rPr>
    </w:pPr>
    <w:r w:rsidRPr="00EC2DD9">
      <w:rPr>
        <w:rFonts w:ascii="Arial" w:hAnsi="Arial" w:cs="Arial"/>
        <w:sz w:val="22"/>
        <w:szCs w:val="22"/>
      </w:rPr>
      <w:t>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7D9E" w14:textId="6BCB971D" w:rsidR="00B43015" w:rsidRDefault="00B43015">
    <w:pPr>
      <w:pStyle w:val="Header"/>
      <w:spacing w:before="240"/>
    </w:pPr>
  </w:p>
  <w:p w14:paraId="65427D9F" w14:textId="69DD0F30" w:rsidR="00B43015" w:rsidRDefault="00EC2DD9">
    <w:pPr>
      <w:pStyle w:val="Header"/>
      <w:spacing w:before="240"/>
    </w:pPr>
    <w:r>
      <w:rPr>
        <w:noProof/>
      </w:rPr>
      <mc:AlternateContent>
        <mc:Choice Requires="wps">
          <w:drawing>
            <wp:anchor distT="0" distB="0" distL="114300" distR="114300" simplePos="0" relativeHeight="251668480" behindDoc="0" locked="1" layoutInCell="1" allowOverlap="1" wp14:anchorId="174FD9C2" wp14:editId="7A0792A7">
              <wp:simplePos x="0" y="0"/>
              <wp:positionH relativeFrom="page">
                <wp:posOffset>2847975</wp:posOffset>
              </wp:positionH>
              <wp:positionV relativeFrom="page">
                <wp:posOffset>772795</wp:posOffset>
              </wp:positionV>
              <wp:extent cx="3962400" cy="10795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EC2DD9" w14:paraId="2FEBB13F" w14:textId="77777777"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EC2DD9" w:rsidRPr="00FA268A" w14:paraId="27B7E26F" w14:textId="77777777" w:rsidTr="00764638">
                                  <w:tc>
                                    <w:tcPr>
                                      <w:tcW w:w="2552" w:type="dxa"/>
                                      <w:shd w:val="clear" w:color="auto" w:fill="auto"/>
                                      <w:tcMar>
                                        <w:left w:w="0" w:type="dxa"/>
                                        <w:right w:w="0" w:type="dxa"/>
                                      </w:tcMar>
                                    </w:tcPr>
                                    <w:p w14:paraId="1CFDCCA9" w14:textId="77777777" w:rsidR="00EC2DD9" w:rsidRPr="00917649" w:rsidRDefault="00EC2DD9" w:rsidP="00764638">
                                      <w:pPr>
                                        <w:pStyle w:val="Legalentityname"/>
                                        <w:rPr>
                                          <w:b w:val="0"/>
                                          <w:lang w:val="en-US"/>
                                        </w:rPr>
                                      </w:pPr>
                                      <w:r w:rsidRPr="00917649">
                                        <w:rPr>
                                          <w:b w:val="0"/>
                                          <w:lang w:val="en-US"/>
                                        </w:rPr>
                                        <w:t>Ernst &amp; Young LLC</w:t>
                                      </w:r>
                                    </w:p>
                                    <w:p w14:paraId="4FA11F20" w14:textId="77777777" w:rsidR="00EC2DD9" w:rsidRDefault="00EC2DD9" w:rsidP="00764638">
                                      <w:pPr>
                                        <w:pStyle w:val="address"/>
                                      </w:pPr>
                                      <w:r w:rsidRPr="00D81A8D">
                                        <w:t>Sadovnicheskaya Nab., 77, bld. 1</w:t>
                                      </w:r>
                                      <w:r w:rsidRPr="00D81A8D">
                                        <w:br/>
                                        <w:t>Moscow, 115035, Russia</w:t>
                                      </w:r>
                                    </w:p>
                                    <w:p w14:paraId="7333DD26" w14:textId="77777777" w:rsidR="00EC2DD9" w:rsidRPr="00D81A8D" w:rsidRDefault="00EC2DD9" w:rsidP="00764638">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1" w:history="1">
                                        <w:r w:rsidRPr="00D81A8D">
                                          <w:t>www.ey.com/ru</w:t>
                                        </w:r>
                                      </w:hyperlink>
                                    </w:p>
                                  </w:tc>
                                </w:tr>
                                <w:tr w:rsidR="00EC2DD9" w:rsidRPr="00FA268A" w14:paraId="5FE24F2D" w14:textId="77777777" w:rsidTr="00764638">
                                  <w:trPr>
                                    <w:trHeight w:hRule="exact" w:val="80"/>
                                  </w:trPr>
                                  <w:tc>
                                    <w:tcPr>
                                      <w:tcW w:w="2552" w:type="dxa"/>
                                      <w:shd w:val="clear" w:color="auto" w:fill="auto"/>
                                      <w:tcMar>
                                        <w:left w:w="0" w:type="dxa"/>
                                        <w:right w:w="0" w:type="dxa"/>
                                      </w:tcMar>
                                    </w:tcPr>
                                    <w:p w14:paraId="547677E4" w14:textId="77777777" w:rsidR="00EC2DD9" w:rsidRPr="00917649" w:rsidRDefault="00EC2DD9" w:rsidP="00764638">
                                      <w:pPr>
                                        <w:pStyle w:val="EYBusinessaddress"/>
                                        <w:rPr>
                                          <w:lang w:val="en-US"/>
                                        </w:rPr>
                                      </w:pPr>
                                    </w:p>
                                  </w:tc>
                                </w:tr>
                              </w:tbl>
                              <w:p w14:paraId="08045A07" w14:textId="77777777" w:rsidR="00EC2DD9" w:rsidRPr="00D81A8D" w:rsidRDefault="00EC2DD9" w:rsidP="00764638">
                                <w:pPr>
                                  <w:pStyle w:val="address"/>
                                  <w:tabs>
                                    <w:tab w:val="left" w:pos="426"/>
                                  </w:tabs>
                                </w:pPr>
                              </w:p>
                            </w:tc>
                            <w:tc>
                              <w:tcPr>
                                <w:tcW w:w="284" w:type="dxa"/>
                                <w:shd w:val="clear" w:color="auto" w:fill="auto"/>
                              </w:tcPr>
                              <w:p w14:paraId="29FE6881" w14:textId="77777777" w:rsidR="00EC2DD9" w:rsidRPr="00917649" w:rsidRDefault="00EC2DD9" w:rsidP="00764638">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EC2DD9" w:rsidRPr="00D81A8D" w14:paraId="3A448FEB" w14:textId="77777777" w:rsidTr="00764638">
                                  <w:tc>
                                    <w:tcPr>
                                      <w:tcW w:w="2715" w:type="dxa"/>
                                      <w:shd w:val="clear" w:color="auto" w:fill="auto"/>
                                      <w:tcMar>
                                        <w:left w:w="0" w:type="dxa"/>
                                        <w:right w:w="0" w:type="dxa"/>
                                      </w:tcMar>
                                    </w:tcPr>
                                    <w:p w14:paraId="1FFBEBEA" w14:textId="77777777" w:rsidR="00EC2DD9" w:rsidRPr="00D81A8D" w:rsidRDefault="00EC2DD9" w:rsidP="00764638">
                                      <w:pPr>
                                        <w:pStyle w:val="Legalentityname"/>
                                        <w:rPr>
                                          <w:b w:val="0"/>
                                        </w:rPr>
                                      </w:pPr>
                                      <w:r w:rsidRPr="00D81A8D">
                                        <w:rPr>
                                          <w:b w:val="0"/>
                                        </w:rPr>
                                        <w:t>ООО «Эрнст энд Янг»</w:t>
                                      </w:r>
                                    </w:p>
                                    <w:p w14:paraId="1E963BB0" w14:textId="77777777" w:rsidR="00EC2DD9" w:rsidRPr="006726C4" w:rsidRDefault="00EC2DD9" w:rsidP="00764638">
                                      <w:pPr>
                                        <w:pStyle w:val="address"/>
                                        <w:rPr>
                                          <w:lang w:val="ru-RU"/>
                                        </w:rPr>
                                      </w:pPr>
                                      <w:r w:rsidRPr="006726C4">
                                        <w:rPr>
                                          <w:lang w:val="ru-RU"/>
                                        </w:rPr>
                                        <w:t xml:space="preserve">Россия, 115035, Москва </w:t>
                                      </w:r>
                                      <w:r w:rsidRPr="006726C4">
                                        <w:rPr>
                                          <w:lang w:val="ru-RU"/>
                                        </w:rPr>
                                        <w:br/>
                                        <w:t>Садовническая наб., 77, стр. 1</w:t>
                                      </w:r>
                                    </w:p>
                                    <w:p w14:paraId="047C93F3" w14:textId="77777777" w:rsidR="00EC2DD9" w:rsidRPr="00D81A8D" w:rsidRDefault="00EC2DD9" w:rsidP="00764638">
                                      <w:pPr>
                                        <w:pStyle w:val="address"/>
                                        <w:tabs>
                                          <w:tab w:val="left" w:pos="518"/>
                                        </w:tabs>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EC2DD9" w:rsidRPr="00D81A8D" w14:paraId="2B9DE71F" w14:textId="77777777" w:rsidTr="00764638">
                                  <w:trPr>
                                    <w:trHeight w:hRule="exact" w:val="80"/>
                                  </w:trPr>
                                  <w:tc>
                                    <w:tcPr>
                                      <w:tcW w:w="2715" w:type="dxa"/>
                                      <w:shd w:val="clear" w:color="auto" w:fill="auto"/>
                                      <w:tcMar>
                                        <w:left w:w="0" w:type="dxa"/>
                                        <w:right w:w="0" w:type="dxa"/>
                                      </w:tcMar>
                                    </w:tcPr>
                                    <w:p w14:paraId="7351FE83" w14:textId="77777777" w:rsidR="00EC2DD9" w:rsidRPr="00D81A8D" w:rsidRDefault="00EC2DD9" w:rsidP="00764638">
                                      <w:pPr>
                                        <w:pStyle w:val="EYBusinessaddress"/>
                                      </w:pPr>
                                    </w:p>
                                  </w:tc>
                                </w:tr>
                              </w:tbl>
                              <w:p w14:paraId="63B84994" w14:textId="77777777" w:rsidR="00EC2DD9" w:rsidRPr="00D81A8D" w:rsidRDefault="00EC2DD9" w:rsidP="00764638">
                                <w:pPr>
                                  <w:pStyle w:val="EYBusinessaddress"/>
                                </w:pPr>
                              </w:p>
                            </w:tc>
                          </w:tr>
                        </w:tbl>
                        <w:p w14:paraId="7FFB88BD" w14:textId="77777777" w:rsidR="00EC2DD9" w:rsidRPr="00EB222E" w:rsidRDefault="00EC2DD9" w:rsidP="00EC2DD9">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25pt;margin-top:60.85pt;width:312pt;height: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fs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EC2DD9" w14:paraId="2FEBB13F" w14:textId="77777777"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EC2DD9" w:rsidRPr="00FA268A" w14:paraId="27B7E26F" w14:textId="77777777" w:rsidTr="00764638">
                            <w:tc>
                              <w:tcPr>
                                <w:tcW w:w="2552" w:type="dxa"/>
                                <w:shd w:val="clear" w:color="auto" w:fill="auto"/>
                                <w:tcMar>
                                  <w:left w:w="0" w:type="dxa"/>
                                  <w:right w:w="0" w:type="dxa"/>
                                </w:tcMar>
                              </w:tcPr>
                              <w:p w14:paraId="1CFDCCA9" w14:textId="77777777" w:rsidR="00EC2DD9" w:rsidRPr="00917649" w:rsidRDefault="00EC2DD9" w:rsidP="00764638">
                                <w:pPr>
                                  <w:pStyle w:val="Legalentityname"/>
                                  <w:rPr>
                                    <w:b w:val="0"/>
                                    <w:lang w:val="en-US"/>
                                  </w:rPr>
                                </w:pPr>
                                <w:r w:rsidRPr="00917649">
                                  <w:rPr>
                                    <w:b w:val="0"/>
                                    <w:lang w:val="en-US"/>
                                  </w:rPr>
                                  <w:t>Ernst &amp; Young LLC</w:t>
                                </w:r>
                              </w:p>
                              <w:p w14:paraId="4FA11F20" w14:textId="77777777" w:rsidR="00EC2DD9" w:rsidRDefault="00EC2DD9" w:rsidP="00764638">
                                <w:pPr>
                                  <w:pStyle w:val="address"/>
                                </w:pPr>
                                <w:r w:rsidRPr="00D81A8D">
                                  <w:t>Sadovnicheskaya Nab., 77, bld. 1</w:t>
                                </w:r>
                                <w:r w:rsidRPr="00D81A8D">
                                  <w:br/>
                                  <w:t>Moscow, 115035, Russia</w:t>
                                </w:r>
                              </w:p>
                              <w:p w14:paraId="7333DD26" w14:textId="77777777" w:rsidR="00EC2DD9" w:rsidRPr="00D81A8D" w:rsidRDefault="00EC2DD9" w:rsidP="00764638">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2" w:history="1">
                                  <w:r w:rsidRPr="00D81A8D">
                                    <w:t>www.ey.com/ru</w:t>
                                  </w:r>
                                </w:hyperlink>
                              </w:p>
                            </w:tc>
                          </w:tr>
                          <w:tr w:rsidR="00EC2DD9" w:rsidRPr="00FA268A" w14:paraId="5FE24F2D" w14:textId="77777777" w:rsidTr="00764638">
                            <w:trPr>
                              <w:trHeight w:hRule="exact" w:val="80"/>
                            </w:trPr>
                            <w:tc>
                              <w:tcPr>
                                <w:tcW w:w="2552" w:type="dxa"/>
                                <w:shd w:val="clear" w:color="auto" w:fill="auto"/>
                                <w:tcMar>
                                  <w:left w:w="0" w:type="dxa"/>
                                  <w:right w:w="0" w:type="dxa"/>
                                </w:tcMar>
                              </w:tcPr>
                              <w:p w14:paraId="547677E4" w14:textId="77777777" w:rsidR="00EC2DD9" w:rsidRPr="00917649" w:rsidRDefault="00EC2DD9" w:rsidP="00764638">
                                <w:pPr>
                                  <w:pStyle w:val="EYBusinessaddress"/>
                                  <w:rPr>
                                    <w:lang w:val="en-US"/>
                                  </w:rPr>
                                </w:pPr>
                              </w:p>
                            </w:tc>
                          </w:tr>
                        </w:tbl>
                        <w:p w14:paraId="08045A07" w14:textId="77777777" w:rsidR="00EC2DD9" w:rsidRPr="00D81A8D" w:rsidRDefault="00EC2DD9" w:rsidP="00764638">
                          <w:pPr>
                            <w:pStyle w:val="address"/>
                            <w:tabs>
                              <w:tab w:val="left" w:pos="426"/>
                            </w:tabs>
                          </w:pPr>
                        </w:p>
                      </w:tc>
                      <w:tc>
                        <w:tcPr>
                          <w:tcW w:w="284" w:type="dxa"/>
                          <w:shd w:val="clear" w:color="auto" w:fill="auto"/>
                        </w:tcPr>
                        <w:p w14:paraId="29FE6881" w14:textId="77777777" w:rsidR="00EC2DD9" w:rsidRPr="00917649" w:rsidRDefault="00EC2DD9" w:rsidP="00764638">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EC2DD9" w:rsidRPr="00D81A8D" w14:paraId="3A448FEB" w14:textId="77777777" w:rsidTr="00764638">
                            <w:tc>
                              <w:tcPr>
                                <w:tcW w:w="2715" w:type="dxa"/>
                                <w:shd w:val="clear" w:color="auto" w:fill="auto"/>
                                <w:tcMar>
                                  <w:left w:w="0" w:type="dxa"/>
                                  <w:right w:w="0" w:type="dxa"/>
                                </w:tcMar>
                              </w:tcPr>
                              <w:p w14:paraId="1FFBEBEA" w14:textId="77777777" w:rsidR="00EC2DD9" w:rsidRPr="00D81A8D" w:rsidRDefault="00EC2DD9" w:rsidP="00764638">
                                <w:pPr>
                                  <w:pStyle w:val="Legalentityname"/>
                                  <w:rPr>
                                    <w:b w:val="0"/>
                                  </w:rPr>
                                </w:pPr>
                                <w:r w:rsidRPr="00D81A8D">
                                  <w:rPr>
                                    <w:b w:val="0"/>
                                  </w:rPr>
                                  <w:t>ООО «Эрнст энд Янг»</w:t>
                                </w:r>
                              </w:p>
                              <w:p w14:paraId="1E963BB0" w14:textId="77777777" w:rsidR="00EC2DD9" w:rsidRPr="006726C4" w:rsidRDefault="00EC2DD9" w:rsidP="00764638">
                                <w:pPr>
                                  <w:pStyle w:val="address"/>
                                  <w:rPr>
                                    <w:lang w:val="ru-RU"/>
                                  </w:rPr>
                                </w:pPr>
                                <w:r w:rsidRPr="006726C4">
                                  <w:rPr>
                                    <w:lang w:val="ru-RU"/>
                                  </w:rPr>
                                  <w:t xml:space="preserve">Россия, 115035, Москва </w:t>
                                </w:r>
                                <w:r w:rsidRPr="006726C4">
                                  <w:rPr>
                                    <w:lang w:val="ru-RU"/>
                                  </w:rPr>
                                  <w:br/>
                                  <w:t>Садовническая наб., 77, стр. 1</w:t>
                                </w:r>
                              </w:p>
                              <w:p w14:paraId="047C93F3" w14:textId="77777777" w:rsidR="00EC2DD9" w:rsidRPr="00D81A8D" w:rsidRDefault="00EC2DD9" w:rsidP="00764638">
                                <w:pPr>
                                  <w:pStyle w:val="address"/>
                                  <w:tabs>
                                    <w:tab w:val="left" w:pos="518"/>
                                  </w:tabs>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EC2DD9" w:rsidRPr="00D81A8D" w14:paraId="2B9DE71F" w14:textId="77777777" w:rsidTr="00764638">
                            <w:trPr>
                              <w:trHeight w:hRule="exact" w:val="80"/>
                            </w:trPr>
                            <w:tc>
                              <w:tcPr>
                                <w:tcW w:w="2715" w:type="dxa"/>
                                <w:shd w:val="clear" w:color="auto" w:fill="auto"/>
                                <w:tcMar>
                                  <w:left w:w="0" w:type="dxa"/>
                                  <w:right w:w="0" w:type="dxa"/>
                                </w:tcMar>
                              </w:tcPr>
                              <w:p w14:paraId="7351FE83" w14:textId="77777777" w:rsidR="00EC2DD9" w:rsidRPr="00D81A8D" w:rsidRDefault="00EC2DD9" w:rsidP="00764638">
                                <w:pPr>
                                  <w:pStyle w:val="EYBusinessaddress"/>
                                </w:pPr>
                              </w:p>
                            </w:tc>
                          </w:tr>
                        </w:tbl>
                        <w:p w14:paraId="63B84994" w14:textId="77777777" w:rsidR="00EC2DD9" w:rsidRPr="00D81A8D" w:rsidRDefault="00EC2DD9" w:rsidP="00764638">
                          <w:pPr>
                            <w:pStyle w:val="EYBusinessaddress"/>
                          </w:pPr>
                        </w:p>
                      </w:tc>
                    </w:tr>
                  </w:tbl>
                  <w:p w14:paraId="7FFB88BD" w14:textId="77777777" w:rsidR="00EC2DD9" w:rsidRPr="00EB222E" w:rsidRDefault="00EC2DD9" w:rsidP="00EC2DD9">
                    <w:pPr>
                      <w:pStyle w:val="EYBusinessaddress"/>
                    </w:pPr>
                  </w:p>
                </w:txbxContent>
              </v:textbox>
              <w10:wrap type="square" anchorx="page" anchory="page"/>
              <w10:anchorlock/>
            </v:shape>
          </w:pict>
        </mc:Fallback>
      </mc:AlternateContent>
    </w:r>
  </w:p>
  <w:p w14:paraId="65427DA0" w14:textId="55F26654" w:rsidR="00B43015" w:rsidRDefault="00EC2DD9">
    <w:pPr>
      <w:pStyle w:val="Header"/>
      <w:spacing w:before="240"/>
    </w:pPr>
    <w:r>
      <w:rPr>
        <w:noProof/>
      </w:rPr>
      <w:drawing>
        <wp:anchor distT="0" distB="0" distL="114300" distR="114300" simplePos="0" relativeHeight="251670528" behindDoc="1" locked="1" layoutInCell="1" allowOverlap="1" wp14:anchorId="4F4C8E80" wp14:editId="7C8E94E0">
          <wp:simplePos x="0" y="0"/>
          <wp:positionH relativeFrom="page">
            <wp:posOffset>953770</wp:posOffset>
          </wp:positionH>
          <wp:positionV relativeFrom="page">
            <wp:posOffset>499110</wp:posOffset>
          </wp:positionV>
          <wp:extent cx="1223645" cy="1028700"/>
          <wp:effectExtent l="0" t="0" r="0" b="0"/>
          <wp:wrapNone/>
          <wp:docPr id="6"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3"/>
                  <a:stretch>
                    <a:fillRect/>
                  </a:stretch>
                </pic:blipFill>
                <pic:spPr>
                  <a:xfrm>
                    <a:off x="0" y="0"/>
                    <a:ext cx="1223645" cy="1028700"/>
                  </a:xfrm>
                  <a:prstGeom prst="rect">
                    <a:avLst/>
                  </a:prstGeom>
                </pic:spPr>
              </pic:pic>
            </a:graphicData>
          </a:graphic>
        </wp:anchor>
      </w:drawing>
    </w:r>
  </w:p>
  <w:p w14:paraId="65427DA1" w14:textId="76BF944E" w:rsidR="00B43015" w:rsidRDefault="00B43015">
    <w:pPr>
      <w:pStyle w:val="EYDocument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87DA0"/>
    <w:lvl w:ilvl="0">
      <w:numFmt w:val="bullet"/>
      <w:lvlText w:val="*"/>
      <w:lvlJc w:val="left"/>
    </w:lvl>
  </w:abstractNum>
  <w:abstractNum w:abstractNumId="1">
    <w:nsid w:val="00D06B94"/>
    <w:multiLevelType w:val="hybridMultilevel"/>
    <w:tmpl w:val="AE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95D60"/>
    <w:multiLevelType w:val="hybridMultilevel"/>
    <w:tmpl w:val="38903E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C261F"/>
    <w:multiLevelType w:val="hybridMultilevel"/>
    <w:tmpl w:val="6798B1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A237062"/>
    <w:multiLevelType w:val="hybridMultilevel"/>
    <w:tmpl w:val="60389F16"/>
    <w:lvl w:ilvl="0" w:tplc="8B7EC5C0">
      <w:start w:val="1"/>
      <w:numFmt w:val="decimal"/>
      <w:lvlText w:val="%1."/>
      <w:lvlJc w:val="left"/>
      <w:pPr>
        <w:tabs>
          <w:tab w:val="num" w:pos="720"/>
        </w:tabs>
        <w:ind w:left="720" w:hanging="360"/>
      </w:pPr>
    </w:lvl>
    <w:lvl w:ilvl="1" w:tplc="124C67E8" w:tentative="1">
      <w:start w:val="1"/>
      <w:numFmt w:val="decimal"/>
      <w:lvlText w:val="%2."/>
      <w:lvlJc w:val="left"/>
      <w:pPr>
        <w:tabs>
          <w:tab w:val="num" w:pos="1440"/>
        </w:tabs>
        <w:ind w:left="1440" w:hanging="360"/>
      </w:pPr>
    </w:lvl>
    <w:lvl w:ilvl="2" w:tplc="C39003B2" w:tentative="1">
      <w:start w:val="1"/>
      <w:numFmt w:val="decimal"/>
      <w:lvlText w:val="%3."/>
      <w:lvlJc w:val="left"/>
      <w:pPr>
        <w:tabs>
          <w:tab w:val="num" w:pos="2160"/>
        </w:tabs>
        <w:ind w:left="2160" w:hanging="360"/>
      </w:pPr>
    </w:lvl>
    <w:lvl w:ilvl="3" w:tplc="058ABB22" w:tentative="1">
      <w:start w:val="1"/>
      <w:numFmt w:val="decimal"/>
      <w:lvlText w:val="%4."/>
      <w:lvlJc w:val="left"/>
      <w:pPr>
        <w:tabs>
          <w:tab w:val="num" w:pos="2880"/>
        </w:tabs>
        <w:ind w:left="2880" w:hanging="360"/>
      </w:pPr>
    </w:lvl>
    <w:lvl w:ilvl="4" w:tplc="794E136C" w:tentative="1">
      <w:start w:val="1"/>
      <w:numFmt w:val="decimal"/>
      <w:lvlText w:val="%5."/>
      <w:lvlJc w:val="left"/>
      <w:pPr>
        <w:tabs>
          <w:tab w:val="num" w:pos="3600"/>
        </w:tabs>
        <w:ind w:left="3600" w:hanging="360"/>
      </w:pPr>
    </w:lvl>
    <w:lvl w:ilvl="5" w:tplc="9EB067A8" w:tentative="1">
      <w:start w:val="1"/>
      <w:numFmt w:val="decimal"/>
      <w:lvlText w:val="%6."/>
      <w:lvlJc w:val="left"/>
      <w:pPr>
        <w:tabs>
          <w:tab w:val="num" w:pos="4320"/>
        </w:tabs>
        <w:ind w:left="4320" w:hanging="360"/>
      </w:pPr>
    </w:lvl>
    <w:lvl w:ilvl="6" w:tplc="05C6E4F2" w:tentative="1">
      <w:start w:val="1"/>
      <w:numFmt w:val="decimal"/>
      <w:lvlText w:val="%7."/>
      <w:lvlJc w:val="left"/>
      <w:pPr>
        <w:tabs>
          <w:tab w:val="num" w:pos="5040"/>
        </w:tabs>
        <w:ind w:left="5040" w:hanging="360"/>
      </w:pPr>
    </w:lvl>
    <w:lvl w:ilvl="7" w:tplc="96FE215C" w:tentative="1">
      <w:start w:val="1"/>
      <w:numFmt w:val="decimal"/>
      <w:lvlText w:val="%8."/>
      <w:lvlJc w:val="left"/>
      <w:pPr>
        <w:tabs>
          <w:tab w:val="num" w:pos="5760"/>
        </w:tabs>
        <w:ind w:left="5760" w:hanging="360"/>
      </w:pPr>
    </w:lvl>
    <w:lvl w:ilvl="8" w:tplc="3CDE6310" w:tentative="1">
      <w:start w:val="1"/>
      <w:numFmt w:val="decimal"/>
      <w:lvlText w:val="%9."/>
      <w:lvlJc w:val="left"/>
      <w:pPr>
        <w:tabs>
          <w:tab w:val="num" w:pos="6480"/>
        </w:tabs>
        <w:ind w:left="6480" w:hanging="360"/>
      </w:pPr>
    </w:lvl>
  </w:abstractNum>
  <w:abstractNum w:abstractNumId="5">
    <w:nsid w:val="1C4530D8"/>
    <w:multiLevelType w:val="hybridMultilevel"/>
    <w:tmpl w:val="C2DE6B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C900044"/>
    <w:multiLevelType w:val="hybridMultilevel"/>
    <w:tmpl w:val="FE2EC6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FAF328A"/>
    <w:multiLevelType w:val="hybridMultilevel"/>
    <w:tmpl w:val="7AE2CC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3DB523F"/>
    <w:multiLevelType w:val="hybridMultilevel"/>
    <w:tmpl w:val="53CE6146"/>
    <w:lvl w:ilvl="0" w:tplc="6986900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40F99"/>
    <w:multiLevelType w:val="hybridMultilevel"/>
    <w:tmpl w:val="0682E7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4F04681"/>
    <w:multiLevelType w:val="hybridMultilevel"/>
    <w:tmpl w:val="0E261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45AFC"/>
    <w:multiLevelType w:val="hybridMultilevel"/>
    <w:tmpl w:val="7814010A"/>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FF742F"/>
    <w:multiLevelType w:val="hybridMultilevel"/>
    <w:tmpl w:val="F9967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352FEB"/>
    <w:multiLevelType w:val="hybridMultilevel"/>
    <w:tmpl w:val="428A2692"/>
    <w:lvl w:ilvl="0" w:tplc="5BE6D84A">
      <w:start w:val="19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6">
    <w:nsid w:val="407C1BA3"/>
    <w:multiLevelType w:val="hybridMultilevel"/>
    <w:tmpl w:val="A1C45004"/>
    <w:lvl w:ilvl="0" w:tplc="69869008">
      <w:start w:val="3"/>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EC7A67"/>
    <w:multiLevelType w:val="hybridMultilevel"/>
    <w:tmpl w:val="32C2AD26"/>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824069"/>
    <w:multiLevelType w:val="hybridMultilevel"/>
    <w:tmpl w:val="466CF240"/>
    <w:lvl w:ilvl="0" w:tplc="34922B4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6F036C"/>
    <w:multiLevelType w:val="hybridMultilevel"/>
    <w:tmpl w:val="7862B32E"/>
    <w:lvl w:ilvl="0" w:tplc="3526444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F575EF"/>
    <w:multiLevelType w:val="hybridMultilevel"/>
    <w:tmpl w:val="04FCAF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52275FEC"/>
    <w:multiLevelType w:val="hybridMultilevel"/>
    <w:tmpl w:val="69E6FCB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911DBD"/>
    <w:multiLevelType w:val="hybridMultilevel"/>
    <w:tmpl w:val="1542D4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54D006DA"/>
    <w:multiLevelType w:val="hybridMultilevel"/>
    <w:tmpl w:val="2E78102A"/>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A72C4F"/>
    <w:multiLevelType w:val="hybridMultilevel"/>
    <w:tmpl w:val="2FE836F4"/>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17A52"/>
    <w:multiLevelType w:val="hybridMultilevel"/>
    <w:tmpl w:val="50426C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7">
    <w:nsid w:val="70EA0E0B"/>
    <w:multiLevelType w:val="hybridMultilevel"/>
    <w:tmpl w:val="AB0EEDCA"/>
    <w:lvl w:ilvl="0" w:tplc="A5120EE4">
      <w:start w:val="2"/>
      <w:numFmt w:val="bullet"/>
      <w:lvlText w:val=""/>
      <w:lvlJc w:val="left"/>
      <w:pPr>
        <w:ind w:left="720" w:hanging="360"/>
      </w:pPr>
      <w:rPr>
        <w:rFonts w:ascii="Wingdings 3" w:eastAsia="Times New Roman" w:hAnsi="Wingdings 3"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2C7E15"/>
    <w:multiLevelType w:val="hybridMultilevel"/>
    <w:tmpl w:val="51409D12"/>
    <w:lvl w:ilvl="0" w:tplc="A5120EE4">
      <w:start w:val="2"/>
      <w:numFmt w:val="bullet"/>
      <w:lvlText w:val=""/>
      <w:lvlJc w:val="left"/>
      <w:pPr>
        <w:ind w:left="720" w:hanging="360"/>
      </w:pPr>
      <w:rPr>
        <w:rFonts w:ascii="Wingdings 3" w:eastAsia="Times New Roman" w:hAnsi="Wingdings 3"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8C669D"/>
    <w:multiLevelType w:val="hybridMultilevel"/>
    <w:tmpl w:val="CAD8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F21604"/>
    <w:multiLevelType w:val="hybridMultilevel"/>
    <w:tmpl w:val="0B169470"/>
    <w:lvl w:ilvl="0" w:tplc="A7167BC0">
      <w:numFmt w:val="bullet"/>
      <w:lvlText w:val="-"/>
      <w:lvlJc w:val="left"/>
      <w:pPr>
        <w:tabs>
          <w:tab w:val="num" w:pos="720"/>
        </w:tabs>
        <w:ind w:left="72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5C5BC7"/>
    <w:multiLevelType w:val="hybridMultilevel"/>
    <w:tmpl w:val="619884B8"/>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3">
    <w:nsid w:val="74FC31B6"/>
    <w:multiLevelType w:val="hybridMultilevel"/>
    <w:tmpl w:val="76CCC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2C24AD"/>
    <w:multiLevelType w:val="hybridMultilevel"/>
    <w:tmpl w:val="D4B016D8"/>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061DE3"/>
    <w:multiLevelType w:val="hybridMultilevel"/>
    <w:tmpl w:val="44B41B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nsid w:val="7D3B044F"/>
    <w:multiLevelType w:val="hybridMultilevel"/>
    <w:tmpl w:val="1E504CD4"/>
    <w:lvl w:ilvl="0" w:tplc="D07E0B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2"/>
  </w:num>
  <w:num w:numId="4">
    <w:abstractNumId w:val="26"/>
  </w:num>
  <w:num w:numId="5">
    <w:abstractNumId w:val="8"/>
  </w:num>
  <w:num w:numId="6">
    <w:abstractNumId w:val="16"/>
  </w:num>
  <w:num w:numId="7">
    <w:abstractNumId w:val="30"/>
  </w:num>
  <w:num w:numId="8">
    <w:abstractNumId w:val="4"/>
  </w:num>
  <w:num w:numId="9">
    <w:abstractNumId w:val="1"/>
  </w:num>
  <w:num w:numId="10">
    <w:abstractNumId w:val="2"/>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0"/>
  </w:num>
  <w:num w:numId="13">
    <w:abstractNumId w:val="18"/>
  </w:num>
  <w:num w:numId="14">
    <w:abstractNumId w:val="36"/>
  </w:num>
  <w:num w:numId="15">
    <w:abstractNumId w:val="28"/>
  </w:num>
  <w:num w:numId="16">
    <w:abstractNumId w:val="27"/>
  </w:num>
  <w:num w:numId="17">
    <w:abstractNumId w:val="29"/>
  </w:num>
  <w:num w:numId="18">
    <w:abstractNumId w:val="11"/>
  </w:num>
  <w:num w:numId="19">
    <w:abstractNumId w:val="25"/>
  </w:num>
  <w:num w:numId="20">
    <w:abstractNumId w:val="34"/>
  </w:num>
  <w:num w:numId="21">
    <w:abstractNumId w:val="3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3"/>
  </w:num>
  <w:num w:numId="32">
    <w:abstractNumId w:val="19"/>
  </w:num>
  <w:num w:numId="33">
    <w:abstractNumId w:val="33"/>
  </w:num>
  <w:num w:numId="34">
    <w:abstractNumId w:val="21"/>
  </w:num>
  <w:num w:numId="35">
    <w:abstractNumId w:val="13"/>
  </w:num>
  <w:num w:numId="36">
    <w:abstractNumId w:val="24"/>
  </w:num>
  <w:num w:numId="37">
    <w:abstractNumId w:val="1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37"/>
  <w:displayVerticalDrawingGridEvery w:val="2"/>
  <w:characterSpacingControl w:val="doNotCompress"/>
  <w:hdrShapeDefaults>
    <o:shapedefaults v:ext="edit" spidmax="18433">
      <o:colormru v:ext="edit" colors="#7f7e82,#6464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FF"/>
    <w:rsid w:val="00006880"/>
    <w:rsid w:val="00013EB7"/>
    <w:rsid w:val="00014CB1"/>
    <w:rsid w:val="0002044B"/>
    <w:rsid w:val="00022BDE"/>
    <w:rsid w:val="00023D97"/>
    <w:rsid w:val="00024414"/>
    <w:rsid w:val="0002768F"/>
    <w:rsid w:val="0003190D"/>
    <w:rsid w:val="00032A7B"/>
    <w:rsid w:val="000365A5"/>
    <w:rsid w:val="00040632"/>
    <w:rsid w:val="00042DC7"/>
    <w:rsid w:val="000465B7"/>
    <w:rsid w:val="00047ED9"/>
    <w:rsid w:val="00047F47"/>
    <w:rsid w:val="00050F81"/>
    <w:rsid w:val="000666B1"/>
    <w:rsid w:val="000801F4"/>
    <w:rsid w:val="000807B8"/>
    <w:rsid w:val="00083D64"/>
    <w:rsid w:val="00096154"/>
    <w:rsid w:val="000A061F"/>
    <w:rsid w:val="000A7381"/>
    <w:rsid w:val="000A795E"/>
    <w:rsid w:val="000C162D"/>
    <w:rsid w:val="000C4027"/>
    <w:rsid w:val="000C588F"/>
    <w:rsid w:val="000D10BC"/>
    <w:rsid w:val="000D428A"/>
    <w:rsid w:val="000E05DC"/>
    <w:rsid w:val="000E06A5"/>
    <w:rsid w:val="000E2DF2"/>
    <w:rsid w:val="000E586A"/>
    <w:rsid w:val="000E7452"/>
    <w:rsid w:val="0010614F"/>
    <w:rsid w:val="00111505"/>
    <w:rsid w:val="00112A03"/>
    <w:rsid w:val="00113162"/>
    <w:rsid w:val="00113E2C"/>
    <w:rsid w:val="00114B54"/>
    <w:rsid w:val="001153F0"/>
    <w:rsid w:val="001166BF"/>
    <w:rsid w:val="00116D0F"/>
    <w:rsid w:val="00120F14"/>
    <w:rsid w:val="00122C5B"/>
    <w:rsid w:val="00132348"/>
    <w:rsid w:val="00134EA6"/>
    <w:rsid w:val="00137033"/>
    <w:rsid w:val="00137F91"/>
    <w:rsid w:val="00143135"/>
    <w:rsid w:val="00144032"/>
    <w:rsid w:val="0014478D"/>
    <w:rsid w:val="0015145D"/>
    <w:rsid w:val="001515BA"/>
    <w:rsid w:val="00157E39"/>
    <w:rsid w:val="00160EDD"/>
    <w:rsid w:val="00161AA7"/>
    <w:rsid w:val="00161FE9"/>
    <w:rsid w:val="001631D8"/>
    <w:rsid w:val="001652D0"/>
    <w:rsid w:val="0016542E"/>
    <w:rsid w:val="001677F6"/>
    <w:rsid w:val="00176CE7"/>
    <w:rsid w:val="001820F3"/>
    <w:rsid w:val="0018783C"/>
    <w:rsid w:val="00193E49"/>
    <w:rsid w:val="00193E84"/>
    <w:rsid w:val="00194B0D"/>
    <w:rsid w:val="00197C2D"/>
    <w:rsid w:val="001A170F"/>
    <w:rsid w:val="001A249B"/>
    <w:rsid w:val="001A3FAB"/>
    <w:rsid w:val="001B48F9"/>
    <w:rsid w:val="001B79D7"/>
    <w:rsid w:val="001C0D5F"/>
    <w:rsid w:val="001C3141"/>
    <w:rsid w:val="001D2A19"/>
    <w:rsid w:val="001D33BE"/>
    <w:rsid w:val="001F15B2"/>
    <w:rsid w:val="00202597"/>
    <w:rsid w:val="00203BD8"/>
    <w:rsid w:val="0020507F"/>
    <w:rsid w:val="00213683"/>
    <w:rsid w:val="00215D9C"/>
    <w:rsid w:val="00220F55"/>
    <w:rsid w:val="00221248"/>
    <w:rsid w:val="0022483F"/>
    <w:rsid w:val="002257B5"/>
    <w:rsid w:val="00225B39"/>
    <w:rsid w:val="0022767A"/>
    <w:rsid w:val="00232AD5"/>
    <w:rsid w:val="00237717"/>
    <w:rsid w:val="00246C34"/>
    <w:rsid w:val="0024732E"/>
    <w:rsid w:val="00260312"/>
    <w:rsid w:val="002662CD"/>
    <w:rsid w:val="00271980"/>
    <w:rsid w:val="002753AE"/>
    <w:rsid w:val="002802A6"/>
    <w:rsid w:val="00280C6E"/>
    <w:rsid w:val="00281890"/>
    <w:rsid w:val="00283519"/>
    <w:rsid w:val="00291C26"/>
    <w:rsid w:val="002957AC"/>
    <w:rsid w:val="002960F4"/>
    <w:rsid w:val="002964DB"/>
    <w:rsid w:val="002A41F5"/>
    <w:rsid w:val="002A536D"/>
    <w:rsid w:val="002B0B2A"/>
    <w:rsid w:val="002B1DB8"/>
    <w:rsid w:val="002B2807"/>
    <w:rsid w:val="002B2F09"/>
    <w:rsid w:val="002B3815"/>
    <w:rsid w:val="002B415B"/>
    <w:rsid w:val="002C5327"/>
    <w:rsid w:val="002C5CC1"/>
    <w:rsid w:val="002D390B"/>
    <w:rsid w:val="002D431B"/>
    <w:rsid w:val="002D6C19"/>
    <w:rsid w:val="002E1127"/>
    <w:rsid w:val="002E2571"/>
    <w:rsid w:val="002E4E96"/>
    <w:rsid w:val="002F1B01"/>
    <w:rsid w:val="002F3718"/>
    <w:rsid w:val="002F4C4C"/>
    <w:rsid w:val="002F7AC5"/>
    <w:rsid w:val="002F7E86"/>
    <w:rsid w:val="003017FD"/>
    <w:rsid w:val="00303F8E"/>
    <w:rsid w:val="003066A7"/>
    <w:rsid w:val="0030721A"/>
    <w:rsid w:val="0031348F"/>
    <w:rsid w:val="003157FF"/>
    <w:rsid w:val="00315CF6"/>
    <w:rsid w:val="00316881"/>
    <w:rsid w:val="003176C6"/>
    <w:rsid w:val="00317F45"/>
    <w:rsid w:val="00320CF1"/>
    <w:rsid w:val="00321349"/>
    <w:rsid w:val="00327070"/>
    <w:rsid w:val="00332406"/>
    <w:rsid w:val="00333151"/>
    <w:rsid w:val="00336EDC"/>
    <w:rsid w:val="00340998"/>
    <w:rsid w:val="0034142B"/>
    <w:rsid w:val="00342BFA"/>
    <w:rsid w:val="0034416E"/>
    <w:rsid w:val="0035098D"/>
    <w:rsid w:val="00355232"/>
    <w:rsid w:val="003570FC"/>
    <w:rsid w:val="00363183"/>
    <w:rsid w:val="00365AC8"/>
    <w:rsid w:val="00366CBA"/>
    <w:rsid w:val="003676B1"/>
    <w:rsid w:val="00370F92"/>
    <w:rsid w:val="003758D4"/>
    <w:rsid w:val="00383455"/>
    <w:rsid w:val="003847B4"/>
    <w:rsid w:val="00385A04"/>
    <w:rsid w:val="00395CC7"/>
    <w:rsid w:val="003A02DE"/>
    <w:rsid w:val="003A2A2F"/>
    <w:rsid w:val="003A6CB4"/>
    <w:rsid w:val="003B4F58"/>
    <w:rsid w:val="003B69ED"/>
    <w:rsid w:val="003C22E1"/>
    <w:rsid w:val="003C22EC"/>
    <w:rsid w:val="003C2ED7"/>
    <w:rsid w:val="003D0F3B"/>
    <w:rsid w:val="003D3E28"/>
    <w:rsid w:val="003E66BB"/>
    <w:rsid w:val="003E707E"/>
    <w:rsid w:val="003F30C4"/>
    <w:rsid w:val="003F701C"/>
    <w:rsid w:val="003F7D22"/>
    <w:rsid w:val="00400994"/>
    <w:rsid w:val="0040784C"/>
    <w:rsid w:val="00413E18"/>
    <w:rsid w:val="00415BC4"/>
    <w:rsid w:val="00416DBB"/>
    <w:rsid w:val="00416F02"/>
    <w:rsid w:val="00417644"/>
    <w:rsid w:val="0042047B"/>
    <w:rsid w:val="0042322D"/>
    <w:rsid w:val="004237F3"/>
    <w:rsid w:val="004262AC"/>
    <w:rsid w:val="00430AC9"/>
    <w:rsid w:val="00432683"/>
    <w:rsid w:val="00432954"/>
    <w:rsid w:val="00434DB1"/>
    <w:rsid w:val="00436F77"/>
    <w:rsid w:val="00440D83"/>
    <w:rsid w:val="004433E8"/>
    <w:rsid w:val="00444636"/>
    <w:rsid w:val="004466D1"/>
    <w:rsid w:val="00453D23"/>
    <w:rsid w:val="00454AB5"/>
    <w:rsid w:val="0046073C"/>
    <w:rsid w:val="00460C52"/>
    <w:rsid w:val="00464397"/>
    <w:rsid w:val="004664CB"/>
    <w:rsid w:val="00467BBE"/>
    <w:rsid w:val="004707FB"/>
    <w:rsid w:val="00474868"/>
    <w:rsid w:val="004758B6"/>
    <w:rsid w:val="00480B90"/>
    <w:rsid w:val="0048181B"/>
    <w:rsid w:val="00483266"/>
    <w:rsid w:val="00483BEF"/>
    <w:rsid w:val="00485E37"/>
    <w:rsid w:val="00491EDB"/>
    <w:rsid w:val="00491F7D"/>
    <w:rsid w:val="00497FE8"/>
    <w:rsid w:val="004A2066"/>
    <w:rsid w:val="004A283D"/>
    <w:rsid w:val="004A525E"/>
    <w:rsid w:val="004A60A1"/>
    <w:rsid w:val="004B31BC"/>
    <w:rsid w:val="004B74C1"/>
    <w:rsid w:val="004C4E22"/>
    <w:rsid w:val="004D1309"/>
    <w:rsid w:val="004D40D2"/>
    <w:rsid w:val="004E5066"/>
    <w:rsid w:val="004F174C"/>
    <w:rsid w:val="004F611F"/>
    <w:rsid w:val="00502456"/>
    <w:rsid w:val="00507B22"/>
    <w:rsid w:val="00510A6C"/>
    <w:rsid w:val="00512530"/>
    <w:rsid w:val="00513D8D"/>
    <w:rsid w:val="00515F55"/>
    <w:rsid w:val="00520DAC"/>
    <w:rsid w:val="005218E5"/>
    <w:rsid w:val="0052257D"/>
    <w:rsid w:val="00525006"/>
    <w:rsid w:val="00526385"/>
    <w:rsid w:val="00530F09"/>
    <w:rsid w:val="00531159"/>
    <w:rsid w:val="005401D3"/>
    <w:rsid w:val="00547D1D"/>
    <w:rsid w:val="005520C2"/>
    <w:rsid w:val="00556EAA"/>
    <w:rsid w:val="005633FA"/>
    <w:rsid w:val="00571132"/>
    <w:rsid w:val="0057294B"/>
    <w:rsid w:val="00575FC9"/>
    <w:rsid w:val="00580EE2"/>
    <w:rsid w:val="0058363C"/>
    <w:rsid w:val="005878B2"/>
    <w:rsid w:val="00587F8E"/>
    <w:rsid w:val="0059005F"/>
    <w:rsid w:val="00591507"/>
    <w:rsid w:val="0059637D"/>
    <w:rsid w:val="005A0B16"/>
    <w:rsid w:val="005A347A"/>
    <w:rsid w:val="005A5782"/>
    <w:rsid w:val="005A7052"/>
    <w:rsid w:val="005B109D"/>
    <w:rsid w:val="005B3E5F"/>
    <w:rsid w:val="005B5DFF"/>
    <w:rsid w:val="005C4B00"/>
    <w:rsid w:val="005C6496"/>
    <w:rsid w:val="005D013D"/>
    <w:rsid w:val="005D154A"/>
    <w:rsid w:val="005D468B"/>
    <w:rsid w:val="005D7901"/>
    <w:rsid w:val="005E73D0"/>
    <w:rsid w:val="005F79AA"/>
    <w:rsid w:val="006004D8"/>
    <w:rsid w:val="00605C3B"/>
    <w:rsid w:val="00607000"/>
    <w:rsid w:val="006103B8"/>
    <w:rsid w:val="00616477"/>
    <w:rsid w:val="00617D30"/>
    <w:rsid w:val="00617E0B"/>
    <w:rsid w:val="00617F85"/>
    <w:rsid w:val="0062059D"/>
    <w:rsid w:val="00621EA3"/>
    <w:rsid w:val="006249C9"/>
    <w:rsid w:val="00627283"/>
    <w:rsid w:val="00630E4B"/>
    <w:rsid w:val="00631F3E"/>
    <w:rsid w:val="006373F0"/>
    <w:rsid w:val="00642A43"/>
    <w:rsid w:val="00643494"/>
    <w:rsid w:val="0064479F"/>
    <w:rsid w:val="00662C6B"/>
    <w:rsid w:val="00666632"/>
    <w:rsid w:val="00666F8F"/>
    <w:rsid w:val="00670308"/>
    <w:rsid w:val="006804E4"/>
    <w:rsid w:val="00683268"/>
    <w:rsid w:val="0068682B"/>
    <w:rsid w:val="00692B1E"/>
    <w:rsid w:val="006A135B"/>
    <w:rsid w:val="006A1B99"/>
    <w:rsid w:val="006A76CF"/>
    <w:rsid w:val="006B15DF"/>
    <w:rsid w:val="006B2946"/>
    <w:rsid w:val="006B53F0"/>
    <w:rsid w:val="006B5A38"/>
    <w:rsid w:val="006B6001"/>
    <w:rsid w:val="006C2745"/>
    <w:rsid w:val="006C3815"/>
    <w:rsid w:val="006C778E"/>
    <w:rsid w:val="006D5CE3"/>
    <w:rsid w:val="006D68C4"/>
    <w:rsid w:val="006E0EF8"/>
    <w:rsid w:val="006E1213"/>
    <w:rsid w:val="006E146E"/>
    <w:rsid w:val="006E5AB7"/>
    <w:rsid w:val="006E6A43"/>
    <w:rsid w:val="006F2A9E"/>
    <w:rsid w:val="006F2C25"/>
    <w:rsid w:val="006F3DF9"/>
    <w:rsid w:val="006F5EBA"/>
    <w:rsid w:val="006F6FAB"/>
    <w:rsid w:val="00700B4F"/>
    <w:rsid w:val="007014EC"/>
    <w:rsid w:val="007015CA"/>
    <w:rsid w:val="00705F7E"/>
    <w:rsid w:val="0071239C"/>
    <w:rsid w:val="0071481A"/>
    <w:rsid w:val="007168C3"/>
    <w:rsid w:val="007224E2"/>
    <w:rsid w:val="00722A29"/>
    <w:rsid w:val="007234DE"/>
    <w:rsid w:val="007248B3"/>
    <w:rsid w:val="0072605A"/>
    <w:rsid w:val="00730DE6"/>
    <w:rsid w:val="0073114F"/>
    <w:rsid w:val="00735C89"/>
    <w:rsid w:val="00737F6B"/>
    <w:rsid w:val="0074176D"/>
    <w:rsid w:val="00745ECF"/>
    <w:rsid w:val="00752BD5"/>
    <w:rsid w:val="007621EB"/>
    <w:rsid w:val="00763EDD"/>
    <w:rsid w:val="00764A47"/>
    <w:rsid w:val="00765CC8"/>
    <w:rsid w:val="0076699F"/>
    <w:rsid w:val="00767777"/>
    <w:rsid w:val="007717A7"/>
    <w:rsid w:val="007737A6"/>
    <w:rsid w:val="00777908"/>
    <w:rsid w:val="00794F47"/>
    <w:rsid w:val="007B02D3"/>
    <w:rsid w:val="007B1EE8"/>
    <w:rsid w:val="007B2BB3"/>
    <w:rsid w:val="007C14DD"/>
    <w:rsid w:val="007C35D4"/>
    <w:rsid w:val="007C5C58"/>
    <w:rsid w:val="007C6329"/>
    <w:rsid w:val="007C65B2"/>
    <w:rsid w:val="007D1745"/>
    <w:rsid w:val="007D1825"/>
    <w:rsid w:val="007D3502"/>
    <w:rsid w:val="007D38C8"/>
    <w:rsid w:val="007D501E"/>
    <w:rsid w:val="007D67FF"/>
    <w:rsid w:val="007E1BAA"/>
    <w:rsid w:val="007E453D"/>
    <w:rsid w:val="007E4A3D"/>
    <w:rsid w:val="007F06DB"/>
    <w:rsid w:val="007F1CCC"/>
    <w:rsid w:val="007F49B6"/>
    <w:rsid w:val="007F5C31"/>
    <w:rsid w:val="007F6FE7"/>
    <w:rsid w:val="007F7D4A"/>
    <w:rsid w:val="0080197A"/>
    <w:rsid w:val="0080209F"/>
    <w:rsid w:val="0081643A"/>
    <w:rsid w:val="00820D00"/>
    <w:rsid w:val="00822AAD"/>
    <w:rsid w:val="008256A9"/>
    <w:rsid w:val="00827083"/>
    <w:rsid w:val="00832A19"/>
    <w:rsid w:val="0083540D"/>
    <w:rsid w:val="0083685F"/>
    <w:rsid w:val="00842FE1"/>
    <w:rsid w:val="008443E8"/>
    <w:rsid w:val="0085004B"/>
    <w:rsid w:val="0085499E"/>
    <w:rsid w:val="008556AC"/>
    <w:rsid w:val="00856A3B"/>
    <w:rsid w:val="00856B0E"/>
    <w:rsid w:val="00860F34"/>
    <w:rsid w:val="00861DC0"/>
    <w:rsid w:val="00870732"/>
    <w:rsid w:val="00872A25"/>
    <w:rsid w:val="00872F48"/>
    <w:rsid w:val="00881033"/>
    <w:rsid w:val="00884539"/>
    <w:rsid w:val="00890D7B"/>
    <w:rsid w:val="00892A4B"/>
    <w:rsid w:val="008963A9"/>
    <w:rsid w:val="00897504"/>
    <w:rsid w:val="00897820"/>
    <w:rsid w:val="008A1352"/>
    <w:rsid w:val="008A246D"/>
    <w:rsid w:val="008A3D51"/>
    <w:rsid w:val="008A4A30"/>
    <w:rsid w:val="008A5D95"/>
    <w:rsid w:val="008B08F9"/>
    <w:rsid w:val="008C75CC"/>
    <w:rsid w:val="008D062F"/>
    <w:rsid w:val="008D0B83"/>
    <w:rsid w:val="008D6145"/>
    <w:rsid w:val="008D7BC5"/>
    <w:rsid w:val="008E1328"/>
    <w:rsid w:val="008E27BC"/>
    <w:rsid w:val="008E3169"/>
    <w:rsid w:val="008E4094"/>
    <w:rsid w:val="008E4399"/>
    <w:rsid w:val="008E5A45"/>
    <w:rsid w:val="008F03AD"/>
    <w:rsid w:val="008F2FCE"/>
    <w:rsid w:val="008F459C"/>
    <w:rsid w:val="00901E20"/>
    <w:rsid w:val="009103F3"/>
    <w:rsid w:val="00910414"/>
    <w:rsid w:val="009118D9"/>
    <w:rsid w:val="0091339D"/>
    <w:rsid w:val="009170FE"/>
    <w:rsid w:val="009360F2"/>
    <w:rsid w:val="009435F8"/>
    <w:rsid w:val="00945742"/>
    <w:rsid w:val="00950C8C"/>
    <w:rsid w:val="0095248A"/>
    <w:rsid w:val="00952BE9"/>
    <w:rsid w:val="009563F5"/>
    <w:rsid w:val="009571E1"/>
    <w:rsid w:val="00960B17"/>
    <w:rsid w:val="00970DAC"/>
    <w:rsid w:val="00971D03"/>
    <w:rsid w:val="00972949"/>
    <w:rsid w:val="0097380F"/>
    <w:rsid w:val="00973E75"/>
    <w:rsid w:val="009745A4"/>
    <w:rsid w:val="00974EA8"/>
    <w:rsid w:val="00976C66"/>
    <w:rsid w:val="009803CF"/>
    <w:rsid w:val="009826CC"/>
    <w:rsid w:val="00991814"/>
    <w:rsid w:val="00991C2B"/>
    <w:rsid w:val="009923DF"/>
    <w:rsid w:val="00992A88"/>
    <w:rsid w:val="00992D15"/>
    <w:rsid w:val="00992E9A"/>
    <w:rsid w:val="009A1B0B"/>
    <w:rsid w:val="009A6718"/>
    <w:rsid w:val="009A7D8B"/>
    <w:rsid w:val="009A7E93"/>
    <w:rsid w:val="009B034F"/>
    <w:rsid w:val="009B35E6"/>
    <w:rsid w:val="009B3789"/>
    <w:rsid w:val="009C0EE4"/>
    <w:rsid w:val="009C41C8"/>
    <w:rsid w:val="009C71BB"/>
    <w:rsid w:val="009D2E90"/>
    <w:rsid w:val="009D3397"/>
    <w:rsid w:val="009D7E2E"/>
    <w:rsid w:val="009E0AA9"/>
    <w:rsid w:val="009E6592"/>
    <w:rsid w:val="009F41E1"/>
    <w:rsid w:val="00A026E9"/>
    <w:rsid w:val="00A0677A"/>
    <w:rsid w:val="00A121A4"/>
    <w:rsid w:val="00A14729"/>
    <w:rsid w:val="00A202EB"/>
    <w:rsid w:val="00A20898"/>
    <w:rsid w:val="00A22D1E"/>
    <w:rsid w:val="00A25AA8"/>
    <w:rsid w:val="00A34F20"/>
    <w:rsid w:val="00A35DF9"/>
    <w:rsid w:val="00A35F74"/>
    <w:rsid w:val="00A37C57"/>
    <w:rsid w:val="00A4047C"/>
    <w:rsid w:val="00A40ED1"/>
    <w:rsid w:val="00A41D3E"/>
    <w:rsid w:val="00A420A0"/>
    <w:rsid w:val="00A4469A"/>
    <w:rsid w:val="00A52416"/>
    <w:rsid w:val="00A54A64"/>
    <w:rsid w:val="00A55582"/>
    <w:rsid w:val="00A61FE2"/>
    <w:rsid w:val="00A70763"/>
    <w:rsid w:val="00A73FC5"/>
    <w:rsid w:val="00A74B02"/>
    <w:rsid w:val="00A77288"/>
    <w:rsid w:val="00A87468"/>
    <w:rsid w:val="00A921AC"/>
    <w:rsid w:val="00A95B5F"/>
    <w:rsid w:val="00A95D42"/>
    <w:rsid w:val="00A96440"/>
    <w:rsid w:val="00AA3F05"/>
    <w:rsid w:val="00AA443D"/>
    <w:rsid w:val="00AA74B2"/>
    <w:rsid w:val="00AB25AC"/>
    <w:rsid w:val="00AB6059"/>
    <w:rsid w:val="00AC4A8B"/>
    <w:rsid w:val="00AC69E2"/>
    <w:rsid w:val="00AD1F67"/>
    <w:rsid w:val="00AE0359"/>
    <w:rsid w:val="00AE29F7"/>
    <w:rsid w:val="00AE7D48"/>
    <w:rsid w:val="00AF2BE0"/>
    <w:rsid w:val="00AF2DE8"/>
    <w:rsid w:val="00AF46B6"/>
    <w:rsid w:val="00AF6CCA"/>
    <w:rsid w:val="00B0087E"/>
    <w:rsid w:val="00B00B58"/>
    <w:rsid w:val="00B033E7"/>
    <w:rsid w:val="00B035F6"/>
    <w:rsid w:val="00B03D60"/>
    <w:rsid w:val="00B042FE"/>
    <w:rsid w:val="00B10FFB"/>
    <w:rsid w:val="00B149C6"/>
    <w:rsid w:val="00B1552F"/>
    <w:rsid w:val="00B20B6A"/>
    <w:rsid w:val="00B22D10"/>
    <w:rsid w:val="00B235CB"/>
    <w:rsid w:val="00B238AB"/>
    <w:rsid w:val="00B304EF"/>
    <w:rsid w:val="00B3064C"/>
    <w:rsid w:val="00B3069F"/>
    <w:rsid w:val="00B337C3"/>
    <w:rsid w:val="00B3416C"/>
    <w:rsid w:val="00B35560"/>
    <w:rsid w:val="00B3647D"/>
    <w:rsid w:val="00B41B8F"/>
    <w:rsid w:val="00B42133"/>
    <w:rsid w:val="00B42B65"/>
    <w:rsid w:val="00B43015"/>
    <w:rsid w:val="00B430D3"/>
    <w:rsid w:val="00B45848"/>
    <w:rsid w:val="00B5266A"/>
    <w:rsid w:val="00B5316A"/>
    <w:rsid w:val="00B5453D"/>
    <w:rsid w:val="00B5560C"/>
    <w:rsid w:val="00B67C89"/>
    <w:rsid w:val="00B703BA"/>
    <w:rsid w:val="00B70B54"/>
    <w:rsid w:val="00B71BCB"/>
    <w:rsid w:val="00B82398"/>
    <w:rsid w:val="00B92E45"/>
    <w:rsid w:val="00B94A7B"/>
    <w:rsid w:val="00B95FEB"/>
    <w:rsid w:val="00B96C28"/>
    <w:rsid w:val="00BA5298"/>
    <w:rsid w:val="00BA65D1"/>
    <w:rsid w:val="00BB29B8"/>
    <w:rsid w:val="00BB3297"/>
    <w:rsid w:val="00BB340B"/>
    <w:rsid w:val="00BB53D3"/>
    <w:rsid w:val="00BB5747"/>
    <w:rsid w:val="00BB67DE"/>
    <w:rsid w:val="00BB6ED4"/>
    <w:rsid w:val="00BC1DB3"/>
    <w:rsid w:val="00BC3714"/>
    <w:rsid w:val="00BD01D6"/>
    <w:rsid w:val="00BD1A26"/>
    <w:rsid w:val="00BD4299"/>
    <w:rsid w:val="00BD5100"/>
    <w:rsid w:val="00BD7538"/>
    <w:rsid w:val="00BE4FC8"/>
    <w:rsid w:val="00BE6E67"/>
    <w:rsid w:val="00BF17D7"/>
    <w:rsid w:val="00BF4B37"/>
    <w:rsid w:val="00BF4BF4"/>
    <w:rsid w:val="00C00493"/>
    <w:rsid w:val="00C0092B"/>
    <w:rsid w:val="00C03E84"/>
    <w:rsid w:val="00C0497C"/>
    <w:rsid w:val="00C10269"/>
    <w:rsid w:val="00C16BD5"/>
    <w:rsid w:val="00C26A42"/>
    <w:rsid w:val="00C27570"/>
    <w:rsid w:val="00C300AF"/>
    <w:rsid w:val="00C35ECE"/>
    <w:rsid w:val="00C3622C"/>
    <w:rsid w:val="00C36AFF"/>
    <w:rsid w:val="00C3740E"/>
    <w:rsid w:val="00C53721"/>
    <w:rsid w:val="00C574F8"/>
    <w:rsid w:val="00C6170E"/>
    <w:rsid w:val="00C622B2"/>
    <w:rsid w:val="00C6286F"/>
    <w:rsid w:val="00C63150"/>
    <w:rsid w:val="00C644C5"/>
    <w:rsid w:val="00C701BC"/>
    <w:rsid w:val="00C94496"/>
    <w:rsid w:val="00C97C03"/>
    <w:rsid w:val="00CA5115"/>
    <w:rsid w:val="00CB1A1D"/>
    <w:rsid w:val="00CB6684"/>
    <w:rsid w:val="00CB6A37"/>
    <w:rsid w:val="00CB7D1B"/>
    <w:rsid w:val="00CC1162"/>
    <w:rsid w:val="00CC1B59"/>
    <w:rsid w:val="00CC2C5F"/>
    <w:rsid w:val="00CC7A38"/>
    <w:rsid w:val="00CD02DC"/>
    <w:rsid w:val="00CD0347"/>
    <w:rsid w:val="00CD120B"/>
    <w:rsid w:val="00CD407D"/>
    <w:rsid w:val="00CD4232"/>
    <w:rsid w:val="00CD5E8E"/>
    <w:rsid w:val="00CE0B30"/>
    <w:rsid w:val="00CE112B"/>
    <w:rsid w:val="00CE259F"/>
    <w:rsid w:val="00CE2E9D"/>
    <w:rsid w:val="00CE2FBF"/>
    <w:rsid w:val="00CE7D81"/>
    <w:rsid w:val="00CF1EDC"/>
    <w:rsid w:val="00CF5529"/>
    <w:rsid w:val="00CF6244"/>
    <w:rsid w:val="00D018AB"/>
    <w:rsid w:val="00D06632"/>
    <w:rsid w:val="00D10510"/>
    <w:rsid w:val="00D1092F"/>
    <w:rsid w:val="00D1189A"/>
    <w:rsid w:val="00D1465D"/>
    <w:rsid w:val="00D1627F"/>
    <w:rsid w:val="00D170A1"/>
    <w:rsid w:val="00D17540"/>
    <w:rsid w:val="00D25F13"/>
    <w:rsid w:val="00D26B50"/>
    <w:rsid w:val="00D3191A"/>
    <w:rsid w:val="00D331BE"/>
    <w:rsid w:val="00D349F6"/>
    <w:rsid w:val="00D372B4"/>
    <w:rsid w:val="00D37A81"/>
    <w:rsid w:val="00D40AFE"/>
    <w:rsid w:val="00D458A2"/>
    <w:rsid w:val="00D4726E"/>
    <w:rsid w:val="00D51D49"/>
    <w:rsid w:val="00D56169"/>
    <w:rsid w:val="00D61D3F"/>
    <w:rsid w:val="00D61FA7"/>
    <w:rsid w:val="00D63353"/>
    <w:rsid w:val="00D64A93"/>
    <w:rsid w:val="00D65D55"/>
    <w:rsid w:val="00D66288"/>
    <w:rsid w:val="00D7159D"/>
    <w:rsid w:val="00D72180"/>
    <w:rsid w:val="00D7405F"/>
    <w:rsid w:val="00D82CDB"/>
    <w:rsid w:val="00D846A7"/>
    <w:rsid w:val="00D851B8"/>
    <w:rsid w:val="00D85F9F"/>
    <w:rsid w:val="00D86A37"/>
    <w:rsid w:val="00D94980"/>
    <w:rsid w:val="00D95483"/>
    <w:rsid w:val="00DA012C"/>
    <w:rsid w:val="00DA12F4"/>
    <w:rsid w:val="00DA5BCD"/>
    <w:rsid w:val="00DA5DC4"/>
    <w:rsid w:val="00DA656A"/>
    <w:rsid w:val="00DA69A4"/>
    <w:rsid w:val="00DA7186"/>
    <w:rsid w:val="00DB5D14"/>
    <w:rsid w:val="00DC30BF"/>
    <w:rsid w:val="00DC3942"/>
    <w:rsid w:val="00DC4370"/>
    <w:rsid w:val="00DD1F01"/>
    <w:rsid w:val="00DD52E2"/>
    <w:rsid w:val="00DE0B86"/>
    <w:rsid w:val="00DF2549"/>
    <w:rsid w:val="00E000B6"/>
    <w:rsid w:val="00E06F1B"/>
    <w:rsid w:val="00E07595"/>
    <w:rsid w:val="00E16E21"/>
    <w:rsid w:val="00E17307"/>
    <w:rsid w:val="00E25B6F"/>
    <w:rsid w:val="00E33B7E"/>
    <w:rsid w:val="00E35AFC"/>
    <w:rsid w:val="00E40748"/>
    <w:rsid w:val="00E50719"/>
    <w:rsid w:val="00E52F25"/>
    <w:rsid w:val="00E53A53"/>
    <w:rsid w:val="00E55448"/>
    <w:rsid w:val="00E5758D"/>
    <w:rsid w:val="00E634B3"/>
    <w:rsid w:val="00E6698D"/>
    <w:rsid w:val="00E675A1"/>
    <w:rsid w:val="00E71E58"/>
    <w:rsid w:val="00E7347D"/>
    <w:rsid w:val="00E74B48"/>
    <w:rsid w:val="00E805ED"/>
    <w:rsid w:val="00E81CB4"/>
    <w:rsid w:val="00E86796"/>
    <w:rsid w:val="00E87ED0"/>
    <w:rsid w:val="00E91627"/>
    <w:rsid w:val="00E9373F"/>
    <w:rsid w:val="00E95128"/>
    <w:rsid w:val="00E9752D"/>
    <w:rsid w:val="00E97D54"/>
    <w:rsid w:val="00EA253C"/>
    <w:rsid w:val="00EA3234"/>
    <w:rsid w:val="00EB05AA"/>
    <w:rsid w:val="00EB2C30"/>
    <w:rsid w:val="00EB313D"/>
    <w:rsid w:val="00EB7497"/>
    <w:rsid w:val="00EC2DD9"/>
    <w:rsid w:val="00EC449A"/>
    <w:rsid w:val="00EC60B0"/>
    <w:rsid w:val="00ED13A3"/>
    <w:rsid w:val="00ED1ED3"/>
    <w:rsid w:val="00ED4370"/>
    <w:rsid w:val="00ED46D7"/>
    <w:rsid w:val="00EE0F2C"/>
    <w:rsid w:val="00EE27CD"/>
    <w:rsid w:val="00EE3683"/>
    <w:rsid w:val="00EE37BF"/>
    <w:rsid w:val="00EE4250"/>
    <w:rsid w:val="00EE5AA8"/>
    <w:rsid w:val="00EF6B22"/>
    <w:rsid w:val="00F004FF"/>
    <w:rsid w:val="00F049B0"/>
    <w:rsid w:val="00F053D1"/>
    <w:rsid w:val="00F06438"/>
    <w:rsid w:val="00F10287"/>
    <w:rsid w:val="00F11757"/>
    <w:rsid w:val="00F177A1"/>
    <w:rsid w:val="00F21509"/>
    <w:rsid w:val="00F21E93"/>
    <w:rsid w:val="00F21F48"/>
    <w:rsid w:val="00F232B7"/>
    <w:rsid w:val="00F239D0"/>
    <w:rsid w:val="00F25ABC"/>
    <w:rsid w:val="00F27157"/>
    <w:rsid w:val="00F276A5"/>
    <w:rsid w:val="00F33B09"/>
    <w:rsid w:val="00F3452B"/>
    <w:rsid w:val="00F35197"/>
    <w:rsid w:val="00F36020"/>
    <w:rsid w:val="00F372F9"/>
    <w:rsid w:val="00F42129"/>
    <w:rsid w:val="00F42307"/>
    <w:rsid w:val="00F457ED"/>
    <w:rsid w:val="00F47FDD"/>
    <w:rsid w:val="00F53A55"/>
    <w:rsid w:val="00F55C12"/>
    <w:rsid w:val="00F56A13"/>
    <w:rsid w:val="00F57C72"/>
    <w:rsid w:val="00F62D7A"/>
    <w:rsid w:val="00F63D2E"/>
    <w:rsid w:val="00F642D9"/>
    <w:rsid w:val="00F66B51"/>
    <w:rsid w:val="00F86FDF"/>
    <w:rsid w:val="00F916E2"/>
    <w:rsid w:val="00F961F5"/>
    <w:rsid w:val="00F96D84"/>
    <w:rsid w:val="00FA392E"/>
    <w:rsid w:val="00FA3EE3"/>
    <w:rsid w:val="00FA7890"/>
    <w:rsid w:val="00FA78DF"/>
    <w:rsid w:val="00FB0DF8"/>
    <w:rsid w:val="00FB1C9E"/>
    <w:rsid w:val="00FB48FA"/>
    <w:rsid w:val="00FB594B"/>
    <w:rsid w:val="00FB6849"/>
    <w:rsid w:val="00FB7F43"/>
    <w:rsid w:val="00FC2C76"/>
    <w:rsid w:val="00FC420A"/>
    <w:rsid w:val="00FC5C36"/>
    <w:rsid w:val="00FD106A"/>
    <w:rsid w:val="00FD7EED"/>
    <w:rsid w:val="00FE1787"/>
    <w:rsid w:val="00FE2BE1"/>
    <w:rsid w:val="00FE38EB"/>
    <w:rsid w:val="00FE44F4"/>
    <w:rsid w:val="00FF0C12"/>
    <w:rsid w:val="00FF5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7f7e82,#646464"/>
    </o:shapedefaults>
    <o:shapelayout v:ext="edit">
      <o:idmap v:ext="edit" data="1"/>
    </o:shapelayout>
  </w:shapeDefaults>
  <w:decimalSymbol w:val="."/>
  <w:listSeparator w:val=","/>
  <w14:docId w14:val="6542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uiPriority w:val="99"/>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uiPriority w:val="99"/>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link w:val="EYBusinessaddressChar"/>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semiHidden/>
    <w:rsid w:val="007D67FF"/>
    <w:rPr>
      <w:sz w:val="20"/>
      <w:szCs w:val="20"/>
    </w:rPr>
  </w:style>
  <w:style w:type="character" w:styleId="FootnoteReference">
    <w:name w:val="footnote reference"/>
    <w:basedOn w:val="DefaultParagraphFont"/>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EYLegal">
    <w:name w:val="EY Legal"/>
    <w:basedOn w:val="Normal"/>
    <w:rsid w:val="00D95483"/>
    <w:pPr>
      <w:tabs>
        <w:tab w:val="left" w:pos="907"/>
      </w:tabs>
      <w:suppressAutoHyphens/>
      <w:spacing w:after="120"/>
    </w:pPr>
    <w:rPr>
      <w:rFonts w:ascii="Arial" w:hAnsi="Arial"/>
      <w:kern w:val="12"/>
      <w:sz w:val="16"/>
      <w:lang w:val="en-GB"/>
    </w:rPr>
  </w:style>
  <w:style w:type="character" w:styleId="Emphasis">
    <w:name w:val="Emphasis"/>
    <w:basedOn w:val="DefaultParagraphFont"/>
    <w:uiPriority w:val="20"/>
    <w:qFormat/>
    <w:rsid w:val="00D4726E"/>
    <w:rPr>
      <w:i/>
      <w:iCs/>
    </w:rPr>
  </w:style>
  <w:style w:type="paragraph" w:customStyle="1" w:styleId="Legalentityname">
    <w:name w:val="Legal entity name"/>
    <w:basedOn w:val="EYBusinessaddress"/>
    <w:link w:val="LegalentitynameChar"/>
    <w:qFormat/>
    <w:rsid w:val="00EC2DD9"/>
    <w:rPr>
      <w:rFonts w:cs="Arial"/>
      <w:b/>
      <w:lang w:val="ru-RU" w:eastAsia="ru-RU" w:bidi="ru-RU"/>
    </w:rPr>
  </w:style>
  <w:style w:type="character" w:customStyle="1" w:styleId="EYBusinessaddressChar">
    <w:name w:val="EY Business address Char"/>
    <w:basedOn w:val="DefaultParagraphFont"/>
    <w:link w:val="EYBusinessaddress"/>
    <w:rsid w:val="00EC2DD9"/>
    <w:rPr>
      <w:rFonts w:ascii="Arial" w:hAnsi="Arial"/>
      <w:color w:val="666666"/>
      <w:kern w:val="12"/>
      <w:sz w:val="15"/>
      <w:szCs w:val="24"/>
      <w:lang w:eastAsia="en-US"/>
    </w:rPr>
  </w:style>
  <w:style w:type="character" w:customStyle="1" w:styleId="LegalentitynameChar">
    <w:name w:val="Legal entity name Char"/>
    <w:basedOn w:val="EYBusinessaddressChar"/>
    <w:link w:val="Legalentityname"/>
    <w:rsid w:val="00EC2DD9"/>
    <w:rPr>
      <w:rFonts w:ascii="Arial" w:hAnsi="Arial" w:cs="Arial"/>
      <w:b/>
      <w:color w:val="666666"/>
      <w:kern w:val="12"/>
      <w:sz w:val="15"/>
      <w:szCs w:val="24"/>
      <w:lang w:val="ru-RU" w:eastAsia="ru-RU" w:bidi="ru-RU"/>
    </w:rPr>
  </w:style>
  <w:style w:type="paragraph" w:customStyle="1" w:styleId="address">
    <w:name w:val="address"/>
    <w:basedOn w:val="EYBusinessaddress"/>
    <w:link w:val="addressChar"/>
    <w:qFormat/>
    <w:rsid w:val="00EC2DD9"/>
    <w:pPr>
      <w:spacing w:line="170" w:lineRule="exact"/>
    </w:pPr>
    <w:rPr>
      <w:color w:val="808080"/>
      <w:lang w:val="en-US"/>
    </w:rPr>
  </w:style>
  <w:style w:type="character" w:customStyle="1" w:styleId="addressChar">
    <w:name w:val="address Char"/>
    <w:basedOn w:val="EYBusinessaddressChar"/>
    <w:link w:val="address"/>
    <w:rsid w:val="00EC2DD9"/>
    <w:rPr>
      <w:rFonts w:ascii="Arial" w:hAnsi="Arial"/>
      <w:color w:val="808080"/>
      <w:kern w:val="12"/>
      <w:sz w:val="15"/>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uiPriority w:val="99"/>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uiPriority w:val="99"/>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link w:val="EYBusinessaddressChar"/>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semiHidden/>
    <w:rsid w:val="007D67FF"/>
    <w:rPr>
      <w:sz w:val="20"/>
      <w:szCs w:val="20"/>
    </w:rPr>
  </w:style>
  <w:style w:type="character" w:styleId="FootnoteReference">
    <w:name w:val="footnote reference"/>
    <w:basedOn w:val="DefaultParagraphFont"/>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EYLegal">
    <w:name w:val="EY Legal"/>
    <w:basedOn w:val="Normal"/>
    <w:rsid w:val="00D95483"/>
    <w:pPr>
      <w:tabs>
        <w:tab w:val="left" w:pos="907"/>
      </w:tabs>
      <w:suppressAutoHyphens/>
      <w:spacing w:after="120"/>
    </w:pPr>
    <w:rPr>
      <w:rFonts w:ascii="Arial" w:hAnsi="Arial"/>
      <w:kern w:val="12"/>
      <w:sz w:val="16"/>
      <w:lang w:val="en-GB"/>
    </w:rPr>
  </w:style>
  <w:style w:type="character" w:styleId="Emphasis">
    <w:name w:val="Emphasis"/>
    <w:basedOn w:val="DefaultParagraphFont"/>
    <w:uiPriority w:val="20"/>
    <w:qFormat/>
    <w:rsid w:val="00D4726E"/>
    <w:rPr>
      <w:i/>
      <w:iCs/>
    </w:rPr>
  </w:style>
  <w:style w:type="paragraph" w:customStyle="1" w:styleId="Legalentityname">
    <w:name w:val="Legal entity name"/>
    <w:basedOn w:val="EYBusinessaddress"/>
    <w:link w:val="LegalentitynameChar"/>
    <w:qFormat/>
    <w:rsid w:val="00EC2DD9"/>
    <w:rPr>
      <w:rFonts w:cs="Arial"/>
      <w:b/>
      <w:lang w:val="ru-RU" w:eastAsia="ru-RU" w:bidi="ru-RU"/>
    </w:rPr>
  </w:style>
  <w:style w:type="character" w:customStyle="1" w:styleId="EYBusinessaddressChar">
    <w:name w:val="EY Business address Char"/>
    <w:basedOn w:val="DefaultParagraphFont"/>
    <w:link w:val="EYBusinessaddress"/>
    <w:rsid w:val="00EC2DD9"/>
    <w:rPr>
      <w:rFonts w:ascii="Arial" w:hAnsi="Arial"/>
      <w:color w:val="666666"/>
      <w:kern w:val="12"/>
      <w:sz w:val="15"/>
      <w:szCs w:val="24"/>
      <w:lang w:eastAsia="en-US"/>
    </w:rPr>
  </w:style>
  <w:style w:type="character" w:customStyle="1" w:styleId="LegalentitynameChar">
    <w:name w:val="Legal entity name Char"/>
    <w:basedOn w:val="EYBusinessaddressChar"/>
    <w:link w:val="Legalentityname"/>
    <w:rsid w:val="00EC2DD9"/>
    <w:rPr>
      <w:rFonts w:ascii="Arial" w:hAnsi="Arial" w:cs="Arial"/>
      <w:b/>
      <w:color w:val="666666"/>
      <w:kern w:val="12"/>
      <w:sz w:val="15"/>
      <w:szCs w:val="24"/>
      <w:lang w:val="ru-RU" w:eastAsia="ru-RU" w:bidi="ru-RU"/>
    </w:rPr>
  </w:style>
  <w:style w:type="paragraph" w:customStyle="1" w:styleId="address">
    <w:name w:val="address"/>
    <w:basedOn w:val="EYBusinessaddress"/>
    <w:link w:val="addressChar"/>
    <w:qFormat/>
    <w:rsid w:val="00EC2DD9"/>
    <w:pPr>
      <w:spacing w:line="170" w:lineRule="exact"/>
    </w:pPr>
    <w:rPr>
      <w:color w:val="808080"/>
      <w:lang w:val="en-US"/>
    </w:rPr>
  </w:style>
  <w:style w:type="character" w:customStyle="1" w:styleId="addressChar">
    <w:name w:val="address Char"/>
    <w:basedOn w:val="EYBusinessaddressChar"/>
    <w:link w:val="address"/>
    <w:rsid w:val="00EC2DD9"/>
    <w:rPr>
      <w:rFonts w:ascii="Arial" w:hAnsi="Arial"/>
      <w:color w:val="808080"/>
      <w:kern w:val="12"/>
      <w:sz w:val="15"/>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27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6816">
      <w:bodyDiv w:val="1"/>
      <w:marLeft w:val="0"/>
      <w:marRight w:val="0"/>
      <w:marTop w:val="0"/>
      <w:marBottom w:val="0"/>
      <w:divBdr>
        <w:top w:val="none" w:sz="0" w:space="0" w:color="auto"/>
        <w:left w:val="none" w:sz="0" w:space="0" w:color="auto"/>
        <w:bottom w:val="none" w:sz="0" w:space="0" w:color="auto"/>
        <w:right w:val="none" w:sz="0" w:space="0" w:color="auto"/>
      </w:divBdr>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leb.Kostarev@ru.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ey.com/russia" TargetMode="External"/><Relationship Id="rId1" Type="http://schemas.openxmlformats.org/officeDocument/2006/relationships/hyperlink" Target="http://www.ey.com/rus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Megan Ball</DisplayName>
        <AccountId>26</AccountId>
        <AccountType/>
      </UserInfo>
    </PublishingContact>
    <_DCDateModified xmlns="http://schemas.microsoft.com/sharepoint/v3/fields">2015-08-11T23:00:00+00:00</_DCDateModified>
    <_dlc_DocId xmlns="46a9ae74-2162-4b2a-a154-5ea09e4d93e4">EKUECYRUT4JJ-7-246</_dlc_DocId>
    <Global_x0020_Sector xmlns="46a9ae74-2162-4b2a-a154-5ea09e4d93e4">Mining &amp; Metals</Global_x0020_Sector>
    <_dlc_DocIdUrl xmlns="46a9ae74-2162-4b2a-a154-5ea09e4d93e4">
      <Url>https://share.ey.net/sites/pronline/_layouts/15/DocIdRedir.aspx?ID=EKUECYRUT4JJ-7-246</Url>
      <Description>EKUECYRUT4JJ-7-246</Description>
    </_dlc_DocIdUrl>
    <Project_x0020_Name xmlns="46a9ae74-2162-4b2a-a154-5ea09e4d93e4">46</Project_x0020_Name>
    <e0e024ccac5240e69ae9c38a41bfa7a5 xmlns="35818088-e62d-4edf-bbb6-409430aef268">
      <Terms xmlns="http://schemas.microsoft.com/office/infopath/2007/PartnerControls">
        <TermInfo xmlns="http://schemas.microsoft.com/office/infopath/2007/PartnerControls">
          <TermName xmlns="http://schemas.microsoft.com/office/infopath/2007/PartnerControls">Mining and Metals</TermName>
          <TermId xmlns="http://schemas.microsoft.com/office/infopath/2007/PartnerControls">682c8d7d-1789-401a-9338-41dc31eed193</TermId>
        </TermInfo>
      </Terms>
    </e0e024ccac5240e69ae9c38a41bfa7a5>
    <TaxCatchAll xmlns="35818088-e62d-4edf-bbb6-409430aef268">
      <Value>24</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Media Relations Sector Content Type" ma:contentTypeID="0x010100EBADE475EB53D543A98A31C6E06665AA0400794543A9D82EF04D82ABF627343B9FC0" ma:contentTypeVersion="9" ma:contentTypeDescription="Add Sector Content Type" ma:contentTypeScope="" ma:versionID="843328c7c3ba3f2be8a845dff5fc4dcc">
  <xsd:schema xmlns:xsd="http://www.w3.org/2001/XMLSchema" xmlns:xs="http://www.w3.org/2001/XMLSchema" xmlns:p="http://schemas.microsoft.com/office/2006/metadata/properties" xmlns:ns1="http://schemas.microsoft.com/sharepoint/v3" xmlns:ns2="46a9ae74-2162-4b2a-a154-5ea09e4d93e4" xmlns:ns3="http://schemas.microsoft.com/sharepoint/v3/fields" xmlns:ns4="35818088-e62d-4edf-bbb6-409430aef268" targetNamespace="http://schemas.microsoft.com/office/2006/metadata/properties" ma:root="true" ma:fieldsID="3abf27655430809d85601057f70c899e" ns1:_="" ns2:_="" ns3:_="" ns4:_="">
    <xsd:import namespace="http://schemas.microsoft.com/sharepoint/v3"/>
    <xsd:import namespace="46a9ae74-2162-4b2a-a154-5ea09e4d93e4"/>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4:TaxCatchAll" minOccurs="0"/>
                <xsd:element ref="ns4:TaxCatchAllLabel" minOccurs="0"/>
                <xsd:element ref="ns4:e0e024ccac5240e69ae9c38a41bfa7a5" minOccurs="0"/>
                <xsd:element ref="ns2:Project_x0020_Name"/>
                <xsd:element ref="ns2:Global_x0020_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a9ae74-2162-4b2a-a154-5ea09e4d93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9" ma:displayName="Project Name" ma:description="Lookup PR Projects" ma:list="{58dc98e1-200c-41d1-a7c5-da8a2fdb2dbf}" ma:internalName="Project_x0020_Name" ma:showField="Title" ma:web="46a9ae74-2162-4b2a-a154-5ea09e4d93e4">
      <xsd:simpleType>
        <xsd:restriction base="dms:Lookup"/>
      </xsd:simpleType>
    </xsd:element>
    <xsd:element name="Global_x0020_Sector" ma:index="20"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6fab53-c5bd-4dd3-ad35-80335fc15af7}" ma:internalName="TaxCatchAll" ma:showField="CatchAllData"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86fab53-c5bd-4dd3-ad35-80335fc15af7}" ma:internalName="TaxCatchAllLabel" ma:readOnly="true" ma:showField="CatchAllDataLabel"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e0e024ccac5240e69ae9c38a41bfa7a5" ma:index="17" nillable="true" ma:taxonomy="true" ma:internalName="e0e024ccac5240e69ae9c38a41bfa7a5" ma:taxonomyFieldName="Sector" ma:displayName="Sector" ma:readOnly="false" ma:default="" ma:fieldId="{e0e024cc-ac52-40e6-9ae9-c38a41bfa7a5}" ma:sspId="9cc9f4e4-efc4-4954-9a3a-92fa8d4fa5d0" ma:termSetId="a2f97da7-e69b-4e00-a045-c556c68352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F9E5-D5E4-4E71-881F-8E5C62B61F07}">
  <ds:schemaRefs>
    <ds:schemaRef ds:uri="http://schemas.microsoft.com/sharepoint/v3/contenttype/forms"/>
  </ds:schemaRefs>
</ds:datastoreItem>
</file>

<file path=customXml/itemProps2.xml><?xml version="1.0" encoding="utf-8"?>
<ds:datastoreItem xmlns:ds="http://schemas.openxmlformats.org/officeDocument/2006/customXml" ds:itemID="{CBFCE792-2FD6-4016-AF3A-054186045E45}">
  <ds:schemaRefs>
    <ds:schemaRef ds:uri="http://schemas.microsoft.com/sharepoint/events"/>
  </ds:schemaRefs>
</ds:datastoreItem>
</file>

<file path=customXml/itemProps3.xml><?xml version="1.0" encoding="utf-8"?>
<ds:datastoreItem xmlns:ds="http://schemas.openxmlformats.org/officeDocument/2006/customXml" ds:itemID="{74957707-D9CA-45B7-8F50-34B7F6772D78}">
  <ds:schemaRefs>
    <ds:schemaRef ds:uri="35818088-e62d-4edf-bbb6-409430aef268"/>
    <ds:schemaRef ds:uri="http://purl.org/dc/dcmitype/"/>
    <ds:schemaRef ds:uri="http://schemas.microsoft.com/sharepoint/v3/fields"/>
    <ds:schemaRef ds:uri="http://schemas.microsoft.com/sharepoint/v3"/>
    <ds:schemaRef ds:uri="http://www.w3.org/XML/1998/namespace"/>
    <ds:schemaRef ds:uri="46a9ae74-2162-4b2a-a154-5ea09e4d93e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446A707-3BB9-4A5A-A395-A7413A89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9ae74-2162-4b2a-a154-5ea09e4d93e4"/>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54AF61-9E53-49CE-BA9B-A6DAEB25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2</TotalTime>
  <Pages>3</Pages>
  <Words>821</Words>
  <Characters>4682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RELEASE - Mining and Metals 1H 2015 MnA</vt:lpstr>
    </vt:vector>
  </TitlesOfParts>
  <Company>Ernst &amp; Young</Company>
  <LinksUpToDate>false</LinksUpToDate>
  <CharactersWithSpaces>5493</CharactersWithSpaces>
  <SharedDoc>false</SharedDoc>
  <HLinks>
    <vt:vector size="18" baseType="variant">
      <vt:variant>
        <vt:i4>2097191</vt:i4>
      </vt:variant>
      <vt:variant>
        <vt:i4>6</vt:i4>
      </vt:variant>
      <vt:variant>
        <vt:i4>0</vt:i4>
      </vt:variant>
      <vt:variant>
        <vt:i4>5</vt:i4>
      </vt:variant>
      <vt:variant>
        <vt:lpwstr>http://www.ey.com/</vt:lpwstr>
      </vt:variant>
      <vt:variant>
        <vt:lpwstr/>
      </vt:variant>
      <vt:variant>
        <vt:i4>3080213</vt:i4>
      </vt:variant>
      <vt:variant>
        <vt:i4>3</vt:i4>
      </vt:variant>
      <vt:variant>
        <vt:i4>0</vt:i4>
      </vt:variant>
      <vt:variant>
        <vt:i4>5</vt:i4>
      </vt:variant>
      <vt:variant>
        <vt:lpwstr>http://www.ey.com/GL/en/Industries/Consumer-Products/Consumer-Products_About-our-consumer-products-services</vt:lpwstr>
      </vt:variant>
      <vt:variant>
        <vt:lpwstr/>
      </vt:variant>
      <vt:variant>
        <vt:i4>1900580</vt:i4>
      </vt:variant>
      <vt:variant>
        <vt:i4>0</vt:i4>
      </vt:variant>
      <vt:variant>
        <vt:i4>0</vt:i4>
      </vt:variant>
      <vt:variant>
        <vt:i4>5</vt:i4>
      </vt:variant>
      <vt:variant>
        <vt:lpwstr>mailto:Ann.Burton@uk.ey.com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Mining and Metals 1H 2015 MnA</dc:title>
  <dc:creator>Megan Ball</dc:creator>
  <cp:lastModifiedBy>Tatiana V Garnina</cp:lastModifiedBy>
  <cp:revision>2</cp:revision>
  <cp:lastPrinted>2015-08-05T01:25:00Z</cp:lastPrinted>
  <dcterms:created xsi:type="dcterms:W3CDTF">2015-10-05T12:44:00Z</dcterms:created>
  <dcterms:modified xsi:type="dcterms:W3CDTF">2015-10-05T12:44:00Z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0489c2f2-1755-4a5c-9c15-3cbddda9cddf</vt:lpwstr>
  </property>
  <property fmtid="{D5CDD505-2E9C-101B-9397-08002B2CF9AE}" pid="3" name="ContentTypeId">
    <vt:lpwstr>0x010100EBADE475EB53D543A98A31C6E06665AA0400794543A9D82EF04D82ABF627343B9FC0</vt:lpwstr>
  </property>
  <property fmtid="{D5CDD505-2E9C-101B-9397-08002B2CF9AE}" pid="4" name="Sector">
    <vt:lpwstr>24;#Mining and Metals|682c8d7d-1789-401a-9338-41dc31eed193</vt:lpwstr>
  </property>
</Properties>
</file>