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9802"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211"/>
        <w:gridCol w:w="2263"/>
        <w:gridCol w:w="474"/>
      </w:tblGrid>
      <w:tr w:rsidR="00E51C83" w:rsidRPr="00A65F42" w:rsidTr="000D3C5A">
        <w:trPr>
          <w:gridAfter w:val="1"/>
          <w:wAfter w:w="474" w:type="dxa"/>
          <w:trHeight w:hRule="exact" w:val="576"/>
        </w:trPr>
        <w:tc>
          <w:tcPr>
            <w:tcW w:w="9328" w:type="dxa"/>
            <w:gridSpan w:val="3"/>
            <w:tcMar>
              <w:left w:w="0" w:type="dxa"/>
              <w:right w:w="0" w:type="dxa"/>
            </w:tcMar>
          </w:tcPr>
          <w:p w:rsidR="00E51C83" w:rsidRPr="00A65F42" w:rsidRDefault="00E51C83" w:rsidP="000D3C5A">
            <w:pPr>
              <w:suppressAutoHyphens/>
              <w:rPr>
                <w:spacing w:val="-4"/>
                <w:kern w:val="12"/>
                <w:sz w:val="36"/>
              </w:rPr>
            </w:pPr>
            <w:bookmarkStart w:id="0" w:name="_GoBack"/>
            <w:bookmarkEnd w:id="0"/>
            <w:r w:rsidRPr="00A65F42">
              <w:rPr>
                <w:spacing w:val="-4"/>
                <w:kern w:val="12"/>
                <w:sz w:val="36"/>
              </w:rPr>
              <w:t>News release</w:t>
            </w:r>
          </w:p>
        </w:tc>
      </w:tr>
      <w:tr w:rsidR="00E51C83" w:rsidRPr="00A65F42" w:rsidTr="000D3C5A">
        <w:trPr>
          <w:trHeight w:hRule="exact" w:val="387"/>
        </w:trPr>
        <w:tc>
          <w:tcPr>
            <w:tcW w:w="1854" w:type="dxa"/>
            <w:tcMar>
              <w:left w:w="0" w:type="dxa"/>
              <w:right w:w="0" w:type="dxa"/>
            </w:tcMar>
          </w:tcPr>
          <w:p w:rsidR="00E51C83" w:rsidRPr="006B16D6" w:rsidRDefault="00E51C83" w:rsidP="000D3C5A">
            <w:pPr>
              <w:suppressAutoHyphens/>
              <w:rPr>
                <w:kern w:val="12"/>
                <w:lang w:val="ru-RU"/>
              </w:rPr>
            </w:pPr>
            <w:r w:rsidRPr="006B16D6">
              <w:rPr>
                <w:kern w:val="12"/>
              </w:rPr>
              <w:t>Contact:</w:t>
            </w:r>
          </w:p>
          <w:p w:rsidR="00E51C83" w:rsidRPr="006B16D6" w:rsidRDefault="00E51C83" w:rsidP="000D3C5A">
            <w:pPr>
              <w:suppressAutoHyphens/>
              <w:rPr>
                <w:kern w:val="12"/>
                <w:lang w:val="ru-RU"/>
              </w:rPr>
            </w:pPr>
          </w:p>
          <w:p w:rsidR="00E51C83" w:rsidRPr="006B16D6" w:rsidRDefault="00E51C83" w:rsidP="000D3C5A">
            <w:pPr>
              <w:suppressAutoHyphens/>
              <w:rPr>
                <w:kern w:val="12"/>
                <w:lang w:val="ru-RU"/>
              </w:rPr>
            </w:pPr>
          </w:p>
          <w:p w:rsidR="00E51C83" w:rsidRPr="006B16D6" w:rsidRDefault="00E51C83" w:rsidP="000D3C5A">
            <w:pPr>
              <w:suppressAutoHyphens/>
              <w:rPr>
                <w:kern w:val="12"/>
                <w:lang w:val="ru-RU"/>
              </w:rPr>
            </w:pPr>
          </w:p>
          <w:p w:rsidR="00E51C83" w:rsidRPr="006B16D6" w:rsidRDefault="00E51C83" w:rsidP="000D3C5A">
            <w:pPr>
              <w:suppressAutoHyphens/>
              <w:rPr>
                <w:kern w:val="12"/>
                <w:lang w:val="ru-RU"/>
              </w:rPr>
            </w:pPr>
          </w:p>
        </w:tc>
        <w:tc>
          <w:tcPr>
            <w:tcW w:w="5211" w:type="dxa"/>
            <w:tcMar>
              <w:left w:w="0" w:type="dxa"/>
              <w:right w:w="0" w:type="dxa"/>
            </w:tcMar>
          </w:tcPr>
          <w:p w:rsidR="00E51C83" w:rsidRPr="006B16D6" w:rsidRDefault="00E51C83" w:rsidP="000D3C5A">
            <w:pPr>
              <w:suppressAutoHyphens/>
              <w:rPr>
                <w:kern w:val="12"/>
              </w:rPr>
            </w:pPr>
            <w:r>
              <w:rPr>
                <w:kern w:val="12"/>
              </w:rPr>
              <w:t>Gleb Kostarev</w:t>
            </w:r>
          </w:p>
        </w:tc>
        <w:tc>
          <w:tcPr>
            <w:tcW w:w="2737" w:type="dxa"/>
            <w:gridSpan w:val="2"/>
            <w:tcMar>
              <w:left w:w="0" w:type="dxa"/>
              <w:right w:w="0" w:type="dxa"/>
            </w:tcMar>
          </w:tcPr>
          <w:p w:rsidR="00E51C83" w:rsidRPr="00A65F42" w:rsidRDefault="00E51C83" w:rsidP="00E51C83">
            <w:pPr>
              <w:suppressAutoHyphens/>
              <w:jc w:val="right"/>
              <w:rPr>
                <w:kern w:val="12"/>
              </w:rPr>
            </w:pPr>
            <w:r>
              <w:rPr>
                <w:kern w:val="12"/>
                <w:lang w:val="ru-RU"/>
              </w:rPr>
              <w:t xml:space="preserve">1 </w:t>
            </w:r>
            <w:r>
              <w:rPr>
                <w:kern w:val="12"/>
              </w:rPr>
              <w:t>July</w:t>
            </w:r>
            <w:r w:rsidRPr="006B16D6">
              <w:rPr>
                <w:kern w:val="12"/>
              </w:rPr>
              <w:t xml:space="preserve"> 2015</w:t>
            </w:r>
            <w:r w:rsidRPr="00A65F42">
              <w:rPr>
                <w:kern w:val="12"/>
              </w:rPr>
              <w:t xml:space="preserve"> </w:t>
            </w:r>
          </w:p>
        </w:tc>
      </w:tr>
      <w:tr w:rsidR="00E51C83" w:rsidRPr="00A65F42" w:rsidTr="000D3C5A">
        <w:trPr>
          <w:trHeight w:hRule="exact" w:val="387"/>
        </w:trPr>
        <w:tc>
          <w:tcPr>
            <w:tcW w:w="1854" w:type="dxa"/>
            <w:tcMar>
              <w:left w:w="0" w:type="dxa"/>
              <w:right w:w="0" w:type="dxa"/>
            </w:tcMar>
          </w:tcPr>
          <w:p w:rsidR="00E51C83" w:rsidRPr="00A65F42" w:rsidRDefault="00E51C83" w:rsidP="000D3C5A">
            <w:pPr>
              <w:suppressAutoHyphens/>
              <w:rPr>
                <w:kern w:val="12"/>
              </w:rPr>
            </w:pPr>
            <w:r w:rsidRPr="00A65F42">
              <w:rPr>
                <w:kern w:val="12"/>
              </w:rPr>
              <w:t>Company:</w:t>
            </w:r>
          </w:p>
        </w:tc>
        <w:tc>
          <w:tcPr>
            <w:tcW w:w="7948" w:type="dxa"/>
            <w:gridSpan w:val="3"/>
            <w:tcMar>
              <w:left w:w="0" w:type="dxa"/>
              <w:right w:w="0" w:type="dxa"/>
            </w:tcMar>
          </w:tcPr>
          <w:p w:rsidR="00E51C83" w:rsidRPr="00A65F42" w:rsidRDefault="00E51C83" w:rsidP="000D3C5A">
            <w:pPr>
              <w:suppressAutoHyphens/>
              <w:rPr>
                <w:kern w:val="12"/>
              </w:rPr>
            </w:pPr>
            <w:r w:rsidRPr="00A65F42">
              <w:rPr>
                <w:kern w:val="12"/>
              </w:rPr>
              <w:t>EY</w:t>
            </w:r>
          </w:p>
        </w:tc>
      </w:tr>
      <w:tr w:rsidR="00E51C83" w:rsidRPr="00A65F42" w:rsidTr="000D3C5A">
        <w:trPr>
          <w:trHeight w:hRule="exact" w:val="387"/>
        </w:trPr>
        <w:tc>
          <w:tcPr>
            <w:tcW w:w="1854" w:type="dxa"/>
            <w:tcMar>
              <w:left w:w="0" w:type="dxa"/>
              <w:right w:w="0" w:type="dxa"/>
            </w:tcMar>
          </w:tcPr>
          <w:p w:rsidR="00E51C83" w:rsidRPr="00A65F42" w:rsidRDefault="00E51C83" w:rsidP="000D3C5A">
            <w:pPr>
              <w:suppressAutoHyphens/>
              <w:rPr>
                <w:kern w:val="12"/>
              </w:rPr>
            </w:pPr>
            <w:r w:rsidRPr="00A65F42">
              <w:rPr>
                <w:kern w:val="12"/>
              </w:rPr>
              <w:t>Tel:</w:t>
            </w:r>
          </w:p>
        </w:tc>
        <w:tc>
          <w:tcPr>
            <w:tcW w:w="7948" w:type="dxa"/>
            <w:gridSpan w:val="3"/>
            <w:tcMar>
              <w:left w:w="0" w:type="dxa"/>
              <w:right w:w="0" w:type="dxa"/>
            </w:tcMar>
          </w:tcPr>
          <w:p w:rsidR="00E51C83" w:rsidRPr="00A65F42" w:rsidRDefault="00E51C83" w:rsidP="000D3C5A">
            <w:pPr>
              <w:suppressAutoHyphens/>
              <w:rPr>
                <w:kern w:val="12"/>
              </w:rPr>
            </w:pPr>
            <w:r w:rsidRPr="00A65F42">
              <w:rPr>
                <w:kern w:val="12"/>
              </w:rPr>
              <w:t>+ 7 (495) 755 9700</w:t>
            </w:r>
          </w:p>
        </w:tc>
      </w:tr>
      <w:tr w:rsidR="00E51C83" w:rsidRPr="00A65F42" w:rsidTr="000D3C5A">
        <w:trPr>
          <w:trHeight w:hRule="exact" w:val="387"/>
        </w:trPr>
        <w:tc>
          <w:tcPr>
            <w:tcW w:w="1854" w:type="dxa"/>
            <w:tcMar>
              <w:left w:w="0" w:type="dxa"/>
              <w:right w:w="0" w:type="dxa"/>
            </w:tcMar>
          </w:tcPr>
          <w:p w:rsidR="00E51C83" w:rsidRPr="00A65F42" w:rsidRDefault="00E51C83" w:rsidP="000D3C5A">
            <w:pPr>
              <w:suppressAutoHyphens/>
              <w:rPr>
                <w:kern w:val="12"/>
              </w:rPr>
            </w:pPr>
            <w:r w:rsidRPr="00A65F42">
              <w:rPr>
                <w:kern w:val="12"/>
              </w:rPr>
              <w:t>Email:</w:t>
            </w:r>
          </w:p>
        </w:tc>
        <w:tc>
          <w:tcPr>
            <w:tcW w:w="7948" w:type="dxa"/>
            <w:gridSpan w:val="3"/>
            <w:tcMar>
              <w:left w:w="0" w:type="dxa"/>
              <w:right w:w="0" w:type="dxa"/>
            </w:tcMar>
          </w:tcPr>
          <w:p w:rsidR="00E51C83" w:rsidRPr="00A65F42" w:rsidRDefault="00A556CD" w:rsidP="000D3C5A">
            <w:pPr>
              <w:suppressAutoHyphens/>
              <w:rPr>
                <w:kern w:val="12"/>
              </w:rPr>
            </w:pPr>
            <w:hyperlink r:id="rId8" w:history="1">
              <w:r w:rsidR="00E51C83" w:rsidRPr="007E750C">
                <w:rPr>
                  <w:rStyle w:val="Hyperlink"/>
                  <w:kern w:val="12"/>
                </w:rPr>
                <w:t>Gleb.Kostarev@ru.ey.com</w:t>
              </w:r>
            </w:hyperlink>
            <w:r w:rsidR="00E51C83">
              <w:rPr>
                <w:kern w:val="12"/>
              </w:rPr>
              <w:t xml:space="preserve"> </w:t>
            </w:r>
          </w:p>
        </w:tc>
      </w:tr>
    </w:tbl>
    <w:p w:rsidR="00E51C83" w:rsidRDefault="00E51C83" w:rsidP="00C273DA">
      <w:pPr>
        <w:rPr>
          <w:rFonts w:cs="Arial"/>
          <w:b/>
          <w:sz w:val="28"/>
          <w:szCs w:val="28"/>
        </w:rPr>
      </w:pPr>
    </w:p>
    <w:p w:rsidR="00C273DA" w:rsidRDefault="00C273DA" w:rsidP="00C273DA">
      <w:pPr>
        <w:rPr>
          <w:rFonts w:cs="Arial"/>
          <w:b/>
          <w:sz w:val="28"/>
          <w:szCs w:val="28"/>
        </w:rPr>
      </w:pPr>
      <w:r>
        <w:rPr>
          <w:rFonts w:cs="Arial"/>
          <w:b/>
          <w:sz w:val="28"/>
          <w:szCs w:val="28"/>
        </w:rPr>
        <w:t xml:space="preserve">Global </w:t>
      </w:r>
      <w:r w:rsidR="00417378">
        <w:rPr>
          <w:rFonts w:cs="Arial"/>
          <w:b/>
          <w:sz w:val="28"/>
          <w:szCs w:val="28"/>
        </w:rPr>
        <w:t>biotech industry continues to sizzle as market capitalization surpas</w:t>
      </w:r>
      <w:r>
        <w:rPr>
          <w:rFonts w:cs="Arial"/>
          <w:b/>
          <w:sz w:val="28"/>
          <w:szCs w:val="28"/>
        </w:rPr>
        <w:t xml:space="preserve">ses </w:t>
      </w:r>
      <w:r w:rsidR="00417378">
        <w:rPr>
          <w:rFonts w:cs="Arial"/>
          <w:b/>
          <w:sz w:val="28"/>
          <w:szCs w:val="28"/>
        </w:rPr>
        <w:t>US</w:t>
      </w:r>
      <w:r>
        <w:rPr>
          <w:rFonts w:cs="Arial"/>
          <w:b/>
          <w:sz w:val="28"/>
          <w:szCs w:val="28"/>
        </w:rPr>
        <w:t xml:space="preserve">$1 </w:t>
      </w:r>
      <w:r w:rsidR="00417378">
        <w:rPr>
          <w:rFonts w:cs="Arial"/>
          <w:b/>
          <w:sz w:val="28"/>
          <w:szCs w:val="28"/>
        </w:rPr>
        <w:t xml:space="preserve">trillion </w:t>
      </w:r>
    </w:p>
    <w:p w:rsidR="00C273DA" w:rsidRDefault="00C273DA" w:rsidP="00C273DA">
      <w:pPr>
        <w:rPr>
          <w:rFonts w:cs="Arial"/>
          <w:b/>
          <w:sz w:val="28"/>
          <w:szCs w:val="28"/>
        </w:rPr>
      </w:pPr>
    </w:p>
    <w:p w:rsidR="00417378" w:rsidRPr="000906A6" w:rsidRDefault="00417378" w:rsidP="00417378">
      <w:pPr>
        <w:pStyle w:val="EYBodytextwithparaspace"/>
        <w:numPr>
          <w:ilvl w:val="0"/>
          <w:numId w:val="7"/>
        </w:numPr>
        <w:spacing w:after="240"/>
        <w:contextualSpacing/>
        <w:rPr>
          <w:rFonts w:cs="Arial"/>
          <w:szCs w:val="22"/>
        </w:rPr>
      </w:pPr>
      <w:r w:rsidRPr="00417378">
        <w:rPr>
          <w:rFonts w:cs="Arial"/>
          <w:b/>
          <w:szCs w:val="22"/>
        </w:rPr>
        <w:t xml:space="preserve">Net income </w:t>
      </w:r>
      <w:r w:rsidR="00C31E25">
        <w:rPr>
          <w:rFonts w:cs="Arial"/>
          <w:b/>
          <w:szCs w:val="22"/>
        </w:rPr>
        <w:t xml:space="preserve">jumps </w:t>
      </w:r>
      <w:r w:rsidR="007B459F">
        <w:rPr>
          <w:rFonts w:cs="Arial"/>
          <w:b/>
          <w:szCs w:val="22"/>
        </w:rPr>
        <w:t>231</w:t>
      </w:r>
      <w:r w:rsidR="00C31E25">
        <w:rPr>
          <w:rFonts w:cs="Arial"/>
          <w:b/>
          <w:szCs w:val="22"/>
        </w:rPr>
        <w:t xml:space="preserve">% in 2014 to </w:t>
      </w:r>
      <w:r w:rsidRPr="00417378">
        <w:rPr>
          <w:rFonts w:cs="Arial"/>
          <w:b/>
          <w:szCs w:val="22"/>
        </w:rPr>
        <w:t>historic high of US$14.9b</w:t>
      </w:r>
      <w:r>
        <w:rPr>
          <w:rFonts w:cs="Arial"/>
          <w:b/>
          <w:szCs w:val="22"/>
        </w:rPr>
        <w:t xml:space="preserve"> </w:t>
      </w:r>
    </w:p>
    <w:p w:rsidR="00FB5546" w:rsidRPr="000906A6" w:rsidRDefault="00FB5546" w:rsidP="00417378">
      <w:pPr>
        <w:pStyle w:val="EYBodytextwithparaspace"/>
        <w:numPr>
          <w:ilvl w:val="0"/>
          <w:numId w:val="7"/>
        </w:numPr>
        <w:spacing w:after="240"/>
        <w:contextualSpacing/>
        <w:rPr>
          <w:rFonts w:cs="Arial"/>
          <w:b/>
          <w:szCs w:val="22"/>
        </w:rPr>
      </w:pPr>
      <w:r w:rsidRPr="000906A6">
        <w:rPr>
          <w:rFonts w:cs="Arial"/>
          <w:b/>
          <w:szCs w:val="22"/>
        </w:rPr>
        <w:t>R&amp;D spending surged 20% as companies in the US and Europe invested in their pipelines</w:t>
      </w:r>
    </w:p>
    <w:p w:rsidR="00417378" w:rsidRDefault="00C31E25" w:rsidP="00417378">
      <w:pPr>
        <w:pStyle w:val="EYBodytextwithparaspace"/>
        <w:numPr>
          <w:ilvl w:val="0"/>
          <w:numId w:val="7"/>
        </w:numPr>
        <w:spacing w:after="240"/>
        <w:contextualSpacing/>
        <w:rPr>
          <w:rFonts w:cs="Arial"/>
          <w:b/>
          <w:szCs w:val="22"/>
        </w:rPr>
      </w:pPr>
      <w:r>
        <w:rPr>
          <w:rFonts w:cs="Arial"/>
          <w:b/>
          <w:szCs w:val="22"/>
        </w:rPr>
        <w:t xml:space="preserve">Firms </w:t>
      </w:r>
      <w:r w:rsidR="00D028C1" w:rsidRPr="00EB392A">
        <w:rPr>
          <w:rFonts w:cs="Arial"/>
          <w:b/>
          <w:szCs w:val="22"/>
        </w:rPr>
        <w:t>in the US and Europe</w:t>
      </w:r>
      <w:r w:rsidR="00EB392A">
        <w:rPr>
          <w:rFonts w:cs="Arial"/>
          <w:b/>
          <w:szCs w:val="22"/>
        </w:rPr>
        <w:t xml:space="preserve"> </w:t>
      </w:r>
      <w:r>
        <w:rPr>
          <w:rFonts w:cs="Arial"/>
          <w:b/>
          <w:szCs w:val="22"/>
        </w:rPr>
        <w:t xml:space="preserve">raise a record </w:t>
      </w:r>
      <w:r w:rsidR="00D028C1" w:rsidRPr="00EB392A">
        <w:rPr>
          <w:rFonts w:cs="Arial"/>
          <w:b/>
          <w:szCs w:val="22"/>
        </w:rPr>
        <w:t xml:space="preserve">US$54.3b </w:t>
      </w:r>
      <w:r>
        <w:rPr>
          <w:rFonts w:cs="Arial"/>
          <w:b/>
          <w:szCs w:val="22"/>
        </w:rPr>
        <w:t xml:space="preserve">in </w:t>
      </w:r>
      <w:r w:rsidR="00EB392A">
        <w:rPr>
          <w:rFonts w:cs="Arial"/>
          <w:b/>
          <w:szCs w:val="22"/>
        </w:rPr>
        <w:t>capital</w:t>
      </w:r>
      <w:r>
        <w:rPr>
          <w:rFonts w:cs="Arial"/>
          <w:b/>
          <w:szCs w:val="22"/>
        </w:rPr>
        <w:t xml:space="preserve"> </w:t>
      </w:r>
      <w:r w:rsidR="00D028C1" w:rsidRPr="00EB392A">
        <w:rPr>
          <w:rFonts w:cs="Arial"/>
          <w:b/>
          <w:szCs w:val="22"/>
        </w:rPr>
        <w:t>in 2014</w:t>
      </w:r>
      <w:r>
        <w:rPr>
          <w:rFonts w:cs="Arial"/>
          <w:b/>
          <w:szCs w:val="22"/>
        </w:rPr>
        <w:t xml:space="preserve"> </w:t>
      </w:r>
    </w:p>
    <w:p w:rsidR="00C31E25" w:rsidRDefault="00C31E25" w:rsidP="00417378">
      <w:pPr>
        <w:pStyle w:val="EYBodytextwithparaspace"/>
        <w:numPr>
          <w:ilvl w:val="0"/>
          <w:numId w:val="7"/>
        </w:numPr>
        <w:spacing w:after="240"/>
        <w:contextualSpacing/>
        <w:rPr>
          <w:rFonts w:cs="Arial"/>
          <w:b/>
          <w:szCs w:val="22"/>
        </w:rPr>
      </w:pPr>
      <w:r>
        <w:rPr>
          <w:rFonts w:cs="Arial"/>
          <w:b/>
          <w:szCs w:val="22"/>
        </w:rPr>
        <w:t xml:space="preserve">A record 94 new US and European companies go public in red hot IPO market </w:t>
      </w:r>
    </w:p>
    <w:p w:rsidR="00C273DA" w:rsidRPr="00603C99" w:rsidRDefault="00C273DA" w:rsidP="00C273DA">
      <w:pPr>
        <w:spacing w:line="360" w:lineRule="auto"/>
        <w:rPr>
          <w:rFonts w:cs="Arial"/>
          <w:sz w:val="22"/>
          <w:szCs w:val="22"/>
        </w:rPr>
      </w:pPr>
      <w:r>
        <w:rPr>
          <w:rFonts w:cs="Arial"/>
          <w:i/>
          <w:sz w:val="22"/>
          <w:szCs w:val="22"/>
        </w:rPr>
        <w:t>PHILADELPHIA</w:t>
      </w:r>
      <w:r w:rsidRPr="000312AE">
        <w:rPr>
          <w:rFonts w:cs="Arial"/>
          <w:i/>
          <w:sz w:val="22"/>
          <w:szCs w:val="22"/>
        </w:rPr>
        <w:t xml:space="preserve">, </w:t>
      </w:r>
      <w:r w:rsidR="009C1728">
        <w:rPr>
          <w:rFonts w:cs="Arial"/>
          <w:i/>
          <w:sz w:val="22"/>
          <w:szCs w:val="22"/>
        </w:rPr>
        <w:t xml:space="preserve">MOSCOW, </w:t>
      </w:r>
      <w:r w:rsidR="00CD44B9">
        <w:rPr>
          <w:rFonts w:cs="Arial"/>
          <w:i/>
          <w:sz w:val="22"/>
          <w:szCs w:val="22"/>
        </w:rPr>
        <w:t xml:space="preserve">1 </w:t>
      </w:r>
      <w:r>
        <w:rPr>
          <w:rFonts w:cs="Arial"/>
          <w:i/>
          <w:sz w:val="22"/>
          <w:szCs w:val="22"/>
        </w:rPr>
        <w:t>JU</w:t>
      </w:r>
      <w:r w:rsidR="000534D5">
        <w:rPr>
          <w:rFonts w:cs="Arial"/>
          <w:i/>
          <w:sz w:val="22"/>
          <w:szCs w:val="22"/>
        </w:rPr>
        <w:t>LY</w:t>
      </w:r>
      <w:r w:rsidRPr="000312AE">
        <w:rPr>
          <w:rFonts w:cs="Arial"/>
          <w:i/>
          <w:sz w:val="22"/>
          <w:szCs w:val="22"/>
        </w:rPr>
        <w:t xml:space="preserve"> 201</w:t>
      </w:r>
      <w:r>
        <w:rPr>
          <w:rFonts w:cs="Arial"/>
          <w:i/>
          <w:sz w:val="22"/>
          <w:szCs w:val="22"/>
        </w:rPr>
        <w:t>5.</w:t>
      </w:r>
      <w:r w:rsidRPr="000312AE">
        <w:rPr>
          <w:rFonts w:cs="Arial"/>
          <w:sz w:val="22"/>
          <w:szCs w:val="22"/>
        </w:rPr>
        <w:t xml:space="preserve"> </w:t>
      </w:r>
      <w:r w:rsidRPr="00603C99">
        <w:rPr>
          <w:rFonts w:cs="Arial"/>
          <w:sz w:val="22"/>
          <w:szCs w:val="22"/>
        </w:rPr>
        <w:t>The global biotechnol</w:t>
      </w:r>
      <w:r w:rsidR="00453732" w:rsidRPr="00603C99">
        <w:rPr>
          <w:rFonts w:cs="Arial"/>
          <w:sz w:val="22"/>
          <w:szCs w:val="22"/>
        </w:rPr>
        <w:t>ogy industry reached new heights</w:t>
      </w:r>
      <w:r w:rsidR="005530E6">
        <w:rPr>
          <w:rFonts w:cs="Arial"/>
          <w:sz w:val="22"/>
          <w:szCs w:val="22"/>
        </w:rPr>
        <w:t xml:space="preserve"> in 2014, setting records on </w:t>
      </w:r>
      <w:r w:rsidR="00453732" w:rsidRPr="00603C99">
        <w:rPr>
          <w:rFonts w:cs="Arial"/>
          <w:sz w:val="22"/>
          <w:szCs w:val="22"/>
        </w:rPr>
        <w:t xml:space="preserve">virtually </w:t>
      </w:r>
      <w:r w:rsidRPr="00603C99">
        <w:rPr>
          <w:rFonts w:cs="Arial"/>
          <w:sz w:val="22"/>
          <w:szCs w:val="22"/>
        </w:rPr>
        <w:t>every major financial metric</w:t>
      </w:r>
      <w:r w:rsidR="005530E6">
        <w:rPr>
          <w:rFonts w:cs="Arial"/>
          <w:sz w:val="22"/>
          <w:szCs w:val="22"/>
        </w:rPr>
        <w:t>, including revenues, profitability and capital raised</w:t>
      </w:r>
      <w:r w:rsidR="009B02B0" w:rsidRPr="00603C99">
        <w:rPr>
          <w:rFonts w:cs="Arial"/>
          <w:sz w:val="22"/>
          <w:szCs w:val="22"/>
        </w:rPr>
        <w:t xml:space="preserve">. These positive </w:t>
      </w:r>
      <w:r w:rsidR="00CD2BD7">
        <w:rPr>
          <w:rFonts w:cs="Arial"/>
          <w:sz w:val="22"/>
          <w:szCs w:val="22"/>
        </w:rPr>
        <w:t>performance indicators</w:t>
      </w:r>
      <w:r w:rsidR="0087762E" w:rsidRPr="00603C99">
        <w:rPr>
          <w:rFonts w:cs="Arial"/>
          <w:sz w:val="22"/>
          <w:szCs w:val="22"/>
        </w:rPr>
        <w:t>,</w:t>
      </w:r>
      <w:r w:rsidR="0058107E" w:rsidRPr="00603C99">
        <w:rPr>
          <w:rFonts w:cs="Arial"/>
          <w:sz w:val="22"/>
          <w:szCs w:val="22"/>
        </w:rPr>
        <w:t xml:space="preserve"> combined with </w:t>
      </w:r>
      <w:r w:rsidR="00E70BAA">
        <w:rPr>
          <w:rFonts w:cs="Arial"/>
          <w:sz w:val="22"/>
          <w:szCs w:val="22"/>
        </w:rPr>
        <w:t xml:space="preserve">several </w:t>
      </w:r>
      <w:r w:rsidR="0058107E" w:rsidRPr="00603C99">
        <w:rPr>
          <w:rFonts w:cs="Arial"/>
          <w:sz w:val="22"/>
          <w:szCs w:val="22"/>
        </w:rPr>
        <w:t>high</w:t>
      </w:r>
      <w:r w:rsidR="00285E35">
        <w:rPr>
          <w:rFonts w:cs="Arial"/>
          <w:sz w:val="22"/>
          <w:szCs w:val="22"/>
        </w:rPr>
        <w:t>-</w:t>
      </w:r>
      <w:r w:rsidR="0058107E" w:rsidRPr="00603C99">
        <w:rPr>
          <w:rFonts w:cs="Arial"/>
          <w:sz w:val="22"/>
          <w:szCs w:val="22"/>
        </w:rPr>
        <w:t xml:space="preserve">profile product successes and a </w:t>
      </w:r>
      <w:r w:rsidR="00A36C41">
        <w:rPr>
          <w:rFonts w:cs="Arial"/>
          <w:sz w:val="22"/>
          <w:szCs w:val="22"/>
        </w:rPr>
        <w:t>strong</w:t>
      </w:r>
      <w:r w:rsidR="00A36C41" w:rsidRPr="00603C99">
        <w:rPr>
          <w:rFonts w:cs="Arial"/>
          <w:sz w:val="22"/>
          <w:szCs w:val="22"/>
        </w:rPr>
        <w:t xml:space="preserve"> </w:t>
      </w:r>
      <w:r w:rsidR="009B02B0" w:rsidRPr="00603C99">
        <w:rPr>
          <w:rFonts w:cs="Arial"/>
          <w:sz w:val="22"/>
          <w:szCs w:val="22"/>
        </w:rPr>
        <w:t>year for new drug approvals</w:t>
      </w:r>
      <w:r w:rsidR="00E70BAA">
        <w:rPr>
          <w:rFonts w:cs="Arial"/>
          <w:sz w:val="22"/>
          <w:szCs w:val="22"/>
        </w:rPr>
        <w:t>,</w:t>
      </w:r>
      <w:r w:rsidR="009B02B0" w:rsidRPr="00603C99">
        <w:rPr>
          <w:rFonts w:cs="Arial"/>
          <w:sz w:val="22"/>
          <w:szCs w:val="22"/>
        </w:rPr>
        <w:t xml:space="preserve"> drove the industry’s </w:t>
      </w:r>
      <w:r w:rsidR="00E70BAA">
        <w:rPr>
          <w:rFonts w:cs="Arial"/>
          <w:sz w:val="22"/>
          <w:szCs w:val="22"/>
        </w:rPr>
        <w:t xml:space="preserve">total </w:t>
      </w:r>
      <w:r w:rsidR="009B02B0" w:rsidRPr="00603C99">
        <w:rPr>
          <w:rFonts w:cs="Arial"/>
          <w:sz w:val="22"/>
          <w:szCs w:val="22"/>
        </w:rPr>
        <w:t>market capitalization above the US$1</w:t>
      </w:r>
      <w:r w:rsidR="00E976A0">
        <w:rPr>
          <w:rFonts w:cs="Arial"/>
          <w:sz w:val="22"/>
          <w:szCs w:val="22"/>
        </w:rPr>
        <w:t>t</w:t>
      </w:r>
      <w:r w:rsidR="009B02B0" w:rsidRPr="00603C99">
        <w:rPr>
          <w:rFonts w:cs="Arial"/>
          <w:sz w:val="22"/>
          <w:szCs w:val="22"/>
        </w:rPr>
        <w:t xml:space="preserve"> threshold for the first time in its history.</w:t>
      </w:r>
      <w:r w:rsidR="00743409" w:rsidRPr="00603C99">
        <w:rPr>
          <w:rFonts w:cs="Arial"/>
          <w:sz w:val="22"/>
          <w:szCs w:val="22"/>
        </w:rPr>
        <w:t xml:space="preserve"> </w:t>
      </w:r>
      <w:r w:rsidRPr="00603C99">
        <w:rPr>
          <w:rFonts w:cs="Arial"/>
          <w:sz w:val="22"/>
          <w:szCs w:val="22"/>
        </w:rPr>
        <w:t xml:space="preserve">These and other findings were released today in </w:t>
      </w:r>
      <w:proofErr w:type="gramStart"/>
      <w:r w:rsidRPr="00603C99">
        <w:rPr>
          <w:rFonts w:cs="Arial"/>
          <w:i/>
          <w:sz w:val="22"/>
          <w:szCs w:val="22"/>
        </w:rPr>
        <w:t>Beyond</w:t>
      </w:r>
      <w:proofErr w:type="gramEnd"/>
      <w:r w:rsidRPr="00603C99">
        <w:rPr>
          <w:rFonts w:cs="Arial"/>
          <w:i/>
          <w:sz w:val="22"/>
          <w:szCs w:val="22"/>
        </w:rPr>
        <w:t xml:space="preserve"> borders: </w:t>
      </w:r>
      <w:r w:rsidR="00891F5F">
        <w:rPr>
          <w:rFonts w:cs="Arial"/>
          <w:i/>
          <w:sz w:val="22"/>
          <w:szCs w:val="22"/>
        </w:rPr>
        <w:t>R</w:t>
      </w:r>
      <w:r w:rsidR="00891F5F" w:rsidRPr="00603C99">
        <w:rPr>
          <w:rFonts w:cs="Arial"/>
          <w:i/>
          <w:sz w:val="22"/>
          <w:szCs w:val="22"/>
        </w:rPr>
        <w:t xml:space="preserve">eaching </w:t>
      </w:r>
      <w:r w:rsidRPr="00603C99">
        <w:rPr>
          <w:rFonts w:cs="Arial"/>
          <w:i/>
          <w:sz w:val="22"/>
          <w:szCs w:val="22"/>
        </w:rPr>
        <w:t>new heights</w:t>
      </w:r>
      <w:r w:rsidRPr="00603C99">
        <w:rPr>
          <w:rFonts w:cs="Arial"/>
          <w:sz w:val="22"/>
          <w:szCs w:val="22"/>
        </w:rPr>
        <w:t>, EY’s 29</w:t>
      </w:r>
      <w:r w:rsidRPr="00603C99">
        <w:rPr>
          <w:rFonts w:cs="Arial"/>
          <w:sz w:val="22"/>
          <w:szCs w:val="22"/>
          <w:vertAlign w:val="superscript"/>
        </w:rPr>
        <w:t>th</w:t>
      </w:r>
      <w:r w:rsidRPr="00603C99">
        <w:rPr>
          <w:rFonts w:cs="Arial"/>
          <w:sz w:val="22"/>
          <w:szCs w:val="22"/>
        </w:rPr>
        <w:t xml:space="preserve"> annual biotechnology industry report. </w:t>
      </w:r>
    </w:p>
    <w:p w:rsidR="00FF3CFD" w:rsidRPr="00603C99" w:rsidRDefault="00FF3CFD" w:rsidP="00C273DA">
      <w:pPr>
        <w:spacing w:line="360" w:lineRule="auto"/>
        <w:rPr>
          <w:rFonts w:cs="Arial"/>
          <w:sz w:val="22"/>
          <w:szCs w:val="22"/>
        </w:rPr>
      </w:pPr>
    </w:p>
    <w:p w:rsidR="00285E35" w:rsidRDefault="0058107E" w:rsidP="000906A6">
      <w:pPr>
        <w:spacing w:line="360" w:lineRule="auto"/>
        <w:rPr>
          <w:rFonts w:cs="Arial"/>
          <w:sz w:val="22"/>
          <w:szCs w:val="22"/>
        </w:rPr>
      </w:pPr>
      <w:r w:rsidRPr="00603C99">
        <w:rPr>
          <w:rFonts w:cs="Arial"/>
          <w:sz w:val="22"/>
          <w:szCs w:val="22"/>
        </w:rPr>
        <w:t>Glen Giovannetti, EY’s Global Life Sciences Leader, says:</w:t>
      </w:r>
      <w:r w:rsidR="00CD2BD7">
        <w:rPr>
          <w:rFonts w:cs="Arial"/>
          <w:sz w:val="22"/>
          <w:szCs w:val="22"/>
        </w:rPr>
        <w:t xml:space="preserve"> </w:t>
      </w:r>
      <w:r w:rsidR="00F255D8" w:rsidRPr="00603C99">
        <w:rPr>
          <w:rFonts w:cs="Arial"/>
          <w:sz w:val="22"/>
          <w:szCs w:val="22"/>
        </w:rPr>
        <w:t>“</w:t>
      </w:r>
      <w:r w:rsidR="00A540F1">
        <w:rPr>
          <w:rFonts w:cs="Arial"/>
          <w:sz w:val="22"/>
          <w:szCs w:val="22"/>
        </w:rPr>
        <w:t xml:space="preserve">The </w:t>
      </w:r>
      <w:r w:rsidR="00285E35" w:rsidRPr="00603C99">
        <w:rPr>
          <w:rFonts w:cs="Arial"/>
          <w:sz w:val="22"/>
          <w:szCs w:val="22"/>
        </w:rPr>
        <w:t>global biotechnology industry</w:t>
      </w:r>
      <w:r w:rsidR="00285E35">
        <w:rPr>
          <w:rFonts w:cs="Arial"/>
          <w:sz w:val="22"/>
          <w:szCs w:val="22"/>
        </w:rPr>
        <w:t>’s</w:t>
      </w:r>
      <w:r w:rsidR="00285E35" w:rsidRPr="00603C99">
        <w:rPr>
          <w:rFonts w:cs="Arial"/>
          <w:sz w:val="22"/>
          <w:szCs w:val="22"/>
        </w:rPr>
        <w:t xml:space="preserve"> </w:t>
      </w:r>
      <w:r w:rsidR="00A540F1">
        <w:rPr>
          <w:rFonts w:cs="Arial"/>
          <w:sz w:val="22"/>
          <w:szCs w:val="22"/>
        </w:rPr>
        <w:t xml:space="preserve">outstanding </w:t>
      </w:r>
      <w:r w:rsidR="00285E35">
        <w:rPr>
          <w:rFonts w:cs="Arial"/>
          <w:sz w:val="22"/>
          <w:szCs w:val="22"/>
        </w:rPr>
        <w:t xml:space="preserve">performance and </w:t>
      </w:r>
      <w:r w:rsidR="00054F9E">
        <w:rPr>
          <w:rFonts w:cs="Arial"/>
          <w:sz w:val="22"/>
          <w:szCs w:val="22"/>
        </w:rPr>
        <w:t xml:space="preserve">maturation </w:t>
      </w:r>
      <w:r w:rsidR="00A540F1">
        <w:rPr>
          <w:rFonts w:cs="Arial"/>
          <w:sz w:val="22"/>
          <w:szCs w:val="22"/>
        </w:rPr>
        <w:t xml:space="preserve">are driving </w:t>
      </w:r>
      <w:r w:rsidR="00054F9E">
        <w:rPr>
          <w:rFonts w:cs="Arial"/>
          <w:sz w:val="22"/>
          <w:szCs w:val="22"/>
        </w:rPr>
        <w:t xml:space="preserve">optimism that a new age of </w:t>
      </w:r>
      <w:r w:rsidR="001F6A38">
        <w:rPr>
          <w:rFonts w:cs="Arial"/>
          <w:sz w:val="22"/>
          <w:szCs w:val="22"/>
        </w:rPr>
        <w:t xml:space="preserve">biotech </w:t>
      </w:r>
      <w:r w:rsidR="00054F9E">
        <w:rPr>
          <w:rFonts w:cs="Arial"/>
          <w:sz w:val="22"/>
          <w:szCs w:val="22"/>
        </w:rPr>
        <w:t>innovation</w:t>
      </w:r>
      <w:r w:rsidR="005F23C5">
        <w:rPr>
          <w:rFonts w:cs="Arial"/>
          <w:sz w:val="22"/>
          <w:szCs w:val="22"/>
        </w:rPr>
        <w:t xml:space="preserve"> </w:t>
      </w:r>
      <w:r w:rsidR="00285E35">
        <w:rPr>
          <w:rFonts w:cs="Arial"/>
          <w:sz w:val="22"/>
          <w:szCs w:val="22"/>
        </w:rPr>
        <w:t xml:space="preserve">will </w:t>
      </w:r>
      <w:r w:rsidR="005F23C5">
        <w:rPr>
          <w:rFonts w:cs="Arial"/>
          <w:sz w:val="22"/>
          <w:szCs w:val="22"/>
        </w:rPr>
        <w:t>crea</w:t>
      </w:r>
      <w:r w:rsidR="00285E35">
        <w:rPr>
          <w:rFonts w:cs="Arial"/>
          <w:sz w:val="22"/>
          <w:szCs w:val="22"/>
        </w:rPr>
        <w:t xml:space="preserve">te long-term value </w:t>
      </w:r>
      <w:r w:rsidR="005F23C5">
        <w:rPr>
          <w:rFonts w:cs="Arial"/>
          <w:sz w:val="22"/>
          <w:szCs w:val="22"/>
        </w:rPr>
        <w:t>for companies, their investors and patients</w:t>
      </w:r>
      <w:r w:rsidR="00054F9E">
        <w:rPr>
          <w:rFonts w:cs="Arial"/>
          <w:sz w:val="22"/>
          <w:szCs w:val="22"/>
        </w:rPr>
        <w:t>.</w:t>
      </w:r>
      <w:r w:rsidR="00285E35">
        <w:rPr>
          <w:rFonts w:cs="Arial"/>
          <w:sz w:val="22"/>
          <w:szCs w:val="22"/>
        </w:rPr>
        <w:t xml:space="preserve"> I</w:t>
      </w:r>
      <w:r w:rsidR="000C6E7F">
        <w:rPr>
          <w:rFonts w:cs="Arial"/>
          <w:sz w:val="22"/>
          <w:szCs w:val="22"/>
        </w:rPr>
        <w:t xml:space="preserve">nvestors </w:t>
      </w:r>
      <w:r w:rsidR="00285E35">
        <w:rPr>
          <w:rFonts w:cs="Arial"/>
          <w:sz w:val="22"/>
          <w:szCs w:val="22"/>
        </w:rPr>
        <w:t>are bullish on the future</w:t>
      </w:r>
      <w:r w:rsidR="000C6E7F">
        <w:rPr>
          <w:rFonts w:cs="Arial"/>
          <w:sz w:val="22"/>
          <w:szCs w:val="22"/>
        </w:rPr>
        <w:t xml:space="preserve">, </w:t>
      </w:r>
      <w:r w:rsidR="00285E35">
        <w:rPr>
          <w:rFonts w:cs="Arial"/>
          <w:sz w:val="22"/>
          <w:szCs w:val="22"/>
        </w:rPr>
        <w:t xml:space="preserve">investing </w:t>
      </w:r>
      <w:r w:rsidR="000C6E7F">
        <w:rPr>
          <w:rFonts w:cs="Arial"/>
          <w:sz w:val="22"/>
          <w:szCs w:val="22"/>
        </w:rPr>
        <w:t xml:space="preserve">historic amounts </w:t>
      </w:r>
      <w:r w:rsidR="00285E35">
        <w:rPr>
          <w:rFonts w:cs="Arial"/>
          <w:sz w:val="22"/>
          <w:szCs w:val="22"/>
        </w:rPr>
        <w:t xml:space="preserve">in the </w:t>
      </w:r>
      <w:r w:rsidR="000C6E7F">
        <w:rPr>
          <w:rFonts w:cs="Arial"/>
          <w:sz w:val="22"/>
          <w:szCs w:val="22"/>
        </w:rPr>
        <w:t>smaller players</w:t>
      </w:r>
      <w:r w:rsidR="00285E35">
        <w:rPr>
          <w:rFonts w:cs="Arial"/>
          <w:sz w:val="22"/>
          <w:szCs w:val="22"/>
        </w:rPr>
        <w:t xml:space="preserve"> that will drive </w:t>
      </w:r>
      <w:r w:rsidR="000C6E7F">
        <w:rPr>
          <w:rFonts w:cs="Arial"/>
          <w:sz w:val="22"/>
          <w:szCs w:val="22"/>
        </w:rPr>
        <w:t>future breakthroughs.</w:t>
      </w:r>
      <w:r w:rsidR="00285E35">
        <w:rPr>
          <w:rFonts w:cs="Arial"/>
          <w:sz w:val="22"/>
          <w:szCs w:val="22"/>
        </w:rPr>
        <w:t>”</w:t>
      </w:r>
    </w:p>
    <w:p w:rsidR="000C6E7F" w:rsidRDefault="000C6E7F" w:rsidP="000906A6">
      <w:pPr>
        <w:spacing w:line="360" w:lineRule="auto"/>
        <w:rPr>
          <w:rFonts w:ascii="EYInterstate" w:hAnsi="EYInterstate"/>
        </w:rPr>
      </w:pPr>
    </w:p>
    <w:p w:rsidR="001F6A38" w:rsidRDefault="001F6A38" w:rsidP="001F6A38">
      <w:pPr>
        <w:spacing w:line="360" w:lineRule="auto"/>
        <w:rPr>
          <w:rFonts w:cs="Arial"/>
          <w:sz w:val="22"/>
          <w:szCs w:val="22"/>
        </w:rPr>
      </w:pPr>
      <w:r>
        <w:rPr>
          <w:rFonts w:cs="Arial"/>
          <w:sz w:val="22"/>
          <w:szCs w:val="22"/>
        </w:rPr>
        <w:t xml:space="preserve">But </w:t>
      </w:r>
      <w:r w:rsidR="00CD4410">
        <w:rPr>
          <w:rFonts w:cs="Arial"/>
          <w:sz w:val="22"/>
          <w:szCs w:val="22"/>
        </w:rPr>
        <w:t xml:space="preserve">success </w:t>
      </w:r>
      <w:r w:rsidR="00285E35">
        <w:rPr>
          <w:rFonts w:cs="Arial"/>
          <w:sz w:val="22"/>
          <w:szCs w:val="22"/>
        </w:rPr>
        <w:t>can engender</w:t>
      </w:r>
      <w:r w:rsidR="00CD4410">
        <w:rPr>
          <w:rFonts w:cs="Arial"/>
          <w:sz w:val="22"/>
          <w:szCs w:val="22"/>
        </w:rPr>
        <w:t xml:space="preserve"> its own challenges</w:t>
      </w:r>
      <w:r w:rsidRPr="00603C99">
        <w:rPr>
          <w:rFonts w:cs="Arial"/>
          <w:sz w:val="22"/>
          <w:szCs w:val="22"/>
        </w:rPr>
        <w:t xml:space="preserve">. </w:t>
      </w:r>
      <w:r w:rsidR="00285E35">
        <w:rPr>
          <w:rFonts w:cs="Arial"/>
          <w:sz w:val="22"/>
          <w:szCs w:val="22"/>
        </w:rPr>
        <w:t>“Unprecedented product approvals have also brought unprecedented p</w:t>
      </w:r>
      <w:r w:rsidRPr="00603C99">
        <w:rPr>
          <w:rFonts w:cs="Arial"/>
          <w:sz w:val="22"/>
          <w:szCs w:val="22"/>
        </w:rPr>
        <w:t>ricing pressures,</w:t>
      </w:r>
      <w:r w:rsidR="00285E35">
        <w:rPr>
          <w:rFonts w:cs="Arial"/>
          <w:sz w:val="22"/>
          <w:szCs w:val="22"/>
        </w:rPr>
        <w:t>” says Giovannetti.</w:t>
      </w:r>
      <w:r w:rsidRPr="00603C99">
        <w:rPr>
          <w:rFonts w:cs="Arial"/>
          <w:sz w:val="22"/>
          <w:szCs w:val="22"/>
        </w:rPr>
        <w:t xml:space="preserve"> </w:t>
      </w:r>
      <w:r w:rsidR="00285E35">
        <w:rPr>
          <w:rFonts w:cs="Arial"/>
          <w:sz w:val="22"/>
          <w:szCs w:val="22"/>
        </w:rPr>
        <w:t>“C</w:t>
      </w:r>
      <w:r w:rsidRPr="00603C99">
        <w:rPr>
          <w:rFonts w:cs="Arial"/>
          <w:sz w:val="22"/>
          <w:szCs w:val="22"/>
        </w:rPr>
        <w:t>ompanies will need to continu</w:t>
      </w:r>
      <w:r w:rsidR="00684E26">
        <w:rPr>
          <w:rFonts w:cs="Arial"/>
          <w:sz w:val="22"/>
          <w:szCs w:val="22"/>
        </w:rPr>
        <w:t xml:space="preserve">ally </w:t>
      </w:r>
      <w:r w:rsidRPr="00603C99">
        <w:rPr>
          <w:rFonts w:cs="Arial"/>
          <w:sz w:val="22"/>
          <w:szCs w:val="22"/>
        </w:rPr>
        <w:t xml:space="preserve">demonstrate </w:t>
      </w:r>
      <w:r>
        <w:rPr>
          <w:rFonts w:cs="Arial"/>
          <w:sz w:val="22"/>
          <w:szCs w:val="22"/>
        </w:rPr>
        <w:t xml:space="preserve">how </w:t>
      </w:r>
      <w:r w:rsidRPr="00603C99">
        <w:rPr>
          <w:rFonts w:cs="Arial"/>
          <w:sz w:val="22"/>
          <w:szCs w:val="22"/>
        </w:rPr>
        <w:t>their products</w:t>
      </w:r>
      <w:r>
        <w:rPr>
          <w:rFonts w:cs="Arial"/>
          <w:sz w:val="22"/>
          <w:szCs w:val="22"/>
        </w:rPr>
        <w:t xml:space="preserve"> deliver value and </w:t>
      </w:r>
      <w:r w:rsidRPr="00603C99">
        <w:rPr>
          <w:rFonts w:cs="Arial"/>
          <w:sz w:val="22"/>
          <w:szCs w:val="22"/>
        </w:rPr>
        <w:t xml:space="preserve">contribute to the </w:t>
      </w:r>
      <w:r w:rsidR="00684E26">
        <w:rPr>
          <w:rFonts w:cs="Arial"/>
          <w:sz w:val="22"/>
          <w:szCs w:val="22"/>
        </w:rPr>
        <w:t xml:space="preserve">overall </w:t>
      </w:r>
      <w:r w:rsidRPr="00603C99">
        <w:rPr>
          <w:rFonts w:cs="Arial"/>
          <w:sz w:val="22"/>
          <w:szCs w:val="22"/>
        </w:rPr>
        <w:t>sustainability of health</w:t>
      </w:r>
      <w:r>
        <w:rPr>
          <w:rFonts w:cs="Arial"/>
          <w:sz w:val="22"/>
          <w:szCs w:val="22"/>
        </w:rPr>
        <w:t xml:space="preserve"> </w:t>
      </w:r>
      <w:r w:rsidRPr="00603C99">
        <w:rPr>
          <w:rFonts w:cs="Arial"/>
          <w:sz w:val="22"/>
          <w:szCs w:val="22"/>
        </w:rPr>
        <w:t>care system</w:t>
      </w:r>
      <w:r w:rsidR="00684E26">
        <w:rPr>
          <w:rFonts w:cs="Arial"/>
          <w:sz w:val="22"/>
          <w:szCs w:val="22"/>
        </w:rPr>
        <w:t>s</w:t>
      </w:r>
      <w:r w:rsidRPr="00603C99">
        <w:rPr>
          <w:rFonts w:cs="Arial"/>
          <w:sz w:val="22"/>
          <w:szCs w:val="22"/>
        </w:rPr>
        <w:t>.”</w:t>
      </w:r>
    </w:p>
    <w:p w:rsidR="00F746F7" w:rsidRDefault="00F746F7" w:rsidP="001F6A38">
      <w:pPr>
        <w:spacing w:line="360" w:lineRule="auto"/>
        <w:rPr>
          <w:rFonts w:cs="Arial"/>
          <w:sz w:val="22"/>
          <w:szCs w:val="22"/>
        </w:rPr>
      </w:pPr>
    </w:p>
    <w:p w:rsidR="00F746F7" w:rsidRPr="00603C99" w:rsidRDefault="00F746F7" w:rsidP="001F6A38">
      <w:pPr>
        <w:spacing w:line="360" w:lineRule="auto"/>
        <w:rPr>
          <w:rFonts w:cs="Arial"/>
          <w:sz w:val="22"/>
          <w:szCs w:val="22"/>
        </w:rPr>
      </w:pPr>
    </w:p>
    <w:p w:rsidR="00C273DA" w:rsidRDefault="00C273DA" w:rsidP="00C273DA">
      <w:pPr>
        <w:spacing w:line="360" w:lineRule="auto"/>
        <w:rPr>
          <w:rFonts w:cs="Arial"/>
          <w:sz w:val="22"/>
          <w:szCs w:val="22"/>
        </w:rPr>
      </w:pPr>
      <w:r w:rsidRPr="00784A8A">
        <w:rPr>
          <w:rFonts w:cs="Arial"/>
          <w:sz w:val="22"/>
          <w:szCs w:val="22"/>
        </w:rPr>
        <w:lastRenderedPageBreak/>
        <w:t>Key results highlighted in the report include:</w:t>
      </w:r>
    </w:p>
    <w:p w:rsidR="00EB392A" w:rsidRPr="00784A8A" w:rsidRDefault="00EB392A" w:rsidP="00C273DA">
      <w:pPr>
        <w:spacing w:line="360" w:lineRule="auto"/>
        <w:rPr>
          <w:rFonts w:cs="Arial"/>
          <w:sz w:val="22"/>
          <w:szCs w:val="22"/>
        </w:rPr>
      </w:pPr>
    </w:p>
    <w:p w:rsidR="00040B44" w:rsidRPr="000906A6" w:rsidRDefault="00E70BAA" w:rsidP="000906A6">
      <w:pPr>
        <w:pStyle w:val="ListParagraph"/>
        <w:numPr>
          <w:ilvl w:val="0"/>
          <w:numId w:val="3"/>
        </w:numPr>
        <w:spacing w:after="200" w:line="360" w:lineRule="auto"/>
        <w:rPr>
          <w:rFonts w:cs="Arial"/>
          <w:b/>
          <w:sz w:val="22"/>
          <w:szCs w:val="22"/>
        </w:rPr>
      </w:pPr>
      <w:r>
        <w:rPr>
          <w:rFonts w:cs="Arial"/>
          <w:b/>
          <w:sz w:val="22"/>
          <w:szCs w:val="22"/>
        </w:rPr>
        <w:t xml:space="preserve">Revenue </w:t>
      </w:r>
      <w:r w:rsidR="00057A4C">
        <w:rPr>
          <w:rFonts w:cs="Arial"/>
          <w:b/>
          <w:sz w:val="22"/>
          <w:szCs w:val="22"/>
        </w:rPr>
        <w:t>jumps</w:t>
      </w:r>
      <w:r w:rsidR="00C273DA" w:rsidRPr="00603C99">
        <w:rPr>
          <w:rFonts w:cs="Arial"/>
          <w:b/>
          <w:sz w:val="22"/>
          <w:szCs w:val="22"/>
        </w:rPr>
        <w:t>:</w:t>
      </w:r>
      <w:r w:rsidR="00C273DA" w:rsidRPr="000906A6">
        <w:rPr>
          <w:rFonts w:cs="Arial"/>
          <w:b/>
          <w:sz w:val="22"/>
          <w:szCs w:val="22"/>
        </w:rPr>
        <w:t xml:space="preserve"> </w:t>
      </w:r>
      <w:r w:rsidR="00C273DA" w:rsidRPr="00CD2BD7">
        <w:rPr>
          <w:rFonts w:cs="Arial"/>
          <w:sz w:val="22"/>
          <w:szCs w:val="22"/>
        </w:rPr>
        <w:t>Companies in the industry’s established biotech centers (the US, Europe, Canada and Australia) generated revenues of US$</w:t>
      </w:r>
      <w:r w:rsidR="005E5E50" w:rsidRPr="001F6A38">
        <w:rPr>
          <w:rFonts w:cs="Arial"/>
          <w:sz w:val="22"/>
          <w:szCs w:val="22"/>
        </w:rPr>
        <w:t>123</w:t>
      </w:r>
      <w:r w:rsidR="00E976A0">
        <w:rPr>
          <w:rFonts w:cs="Arial"/>
          <w:sz w:val="22"/>
          <w:szCs w:val="22"/>
        </w:rPr>
        <w:t>b</w:t>
      </w:r>
      <w:r w:rsidR="00C273DA" w:rsidRPr="001F6A38">
        <w:rPr>
          <w:rFonts w:cs="Arial"/>
          <w:sz w:val="22"/>
          <w:szCs w:val="22"/>
        </w:rPr>
        <w:t>,</w:t>
      </w:r>
      <w:r w:rsidR="005E5E50" w:rsidRPr="001F6A38">
        <w:rPr>
          <w:rFonts w:cs="Arial"/>
          <w:sz w:val="22"/>
          <w:szCs w:val="22"/>
        </w:rPr>
        <w:t xml:space="preserve"> a 24% increase from 2013</w:t>
      </w:r>
      <w:r w:rsidR="00040B44" w:rsidRPr="001F6A38">
        <w:rPr>
          <w:rFonts w:cs="Arial"/>
          <w:sz w:val="22"/>
          <w:szCs w:val="22"/>
        </w:rPr>
        <w:t>, and a new high</w:t>
      </w:r>
      <w:r w:rsidR="00C273DA" w:rsidRPr="001F6A38">
        <w:rPr>
          <w:rFonts w:cs="Arial"/>
          <w:sz w:val="22"/>
          <w:szCs w:val="22"/>
        </w:rPr>
        <w:t>.</w:t>
      </w:r>
      <w:r w:rsidR="00D22155">
        <w:rPr>
          <w:rFonts w:cs="Arial"/>
          <w:sz w:val="22"/>
          <w:szCs w:val="22"/>
        </w:rPr>
        <w:t xml:space="preserve"> </w:t>
      </w:r>
      <w:r w:rsidR="007B459F">
        <w:rPr>
          <w:rFonts w:cs="Arial"/>
          <w:sz w:val="22"/>
          <w:szCs w:val="22"/>
        </w:rPr>
        <w:t>Excluding the unprecedented growth of one industry leader, Gilead Sciences, revenues in 2014 would have increased a healthy 12%.</w:t>
      </w:r>
    </w:p>
    <w:p w:rsidR="00D97109" w:rsidRPr="000906A6" w:rsidRDefault="009F2381" w:rsidP="000906A6">
      <w:pPr>
        <w:pStyle w:val="ListParagraph"/>
        <w:numPr>
          <w:ilvl w:val="0"/>
          <w:numId w:val="3"/>
        </w:numPr>
        <w:spacing w:after="200" w:line="360" w:lineRule="auto"/>
        <w:rPr>
          <w:rFonts w:ascii="Times New Roman" w:hAnsi="Times New Roman"/>
        </w:rPr>
      </w:pPr>
      <w:r w:rsidRPr="00D97109">
        <w:rPr>
          <w:rFonts w:cs="Arial"/>
          <w:b/>
          <w:sz w:val="22"/>
          <w:szCs w:val="22"/>
        </w:rPr>
        <w:t>Profitability for all the right reasons</w:t>
      </w:r>
      <w:r w:rsidR="00C273DA" w:rsidRPr="00D97109">
        <w:rPr>
          <w:rFonts w:cs="Arial"/>
          <w:b/>
          <w:sz w:val="22"/>
          <w:szCs w:val="22"/>
        </w:rPr>
        <w:t>:</w:t>
      </w:r>
      <w:r w:rsidR="00C273DA" w:rsidRPr="00D97109">
        <w:rPr>
          <w:rFonts w:cs="Arial"/>
          <w:sz w:val="22"/>
          <w:szCs w:val="22"/>
        </w:rPr>
        <w:t xml:space="preserve"> Net</w:t>
      </w:r>
      <w:r w:rsidR="004223EB" w:rsidRPr="00D97109">
        <w:rPr>
          <w:rFonts w:cs="Arial"/>
          <w:sz w:val="22"/>
          <w:szCs w:val="22"/>
        </w:rPr>
        <w:t xml:space="preserve"> income reached </w:t>
      </w:r>
      <w:r w:rsidR="00E70BAA" w:rsidRPr="00D97109">
        <w:rPr>
          <w:rFonts w:cs="Arial"/>
          <w:sz w:val="22"/>
          <w:szCs w:val="22"/>
        </w:rPr>
        <w:t xml:space="preserve">a historic high of US$14.9b, </w:t>
      </w:r>
      <w:r w:rsidR="00613593" w:rsidRPr="005F23C5">
        <w:rPr>
          <w:rFonts w:cs="Arial"/>
          <w:sz w:val="22"/>
          <w:szCs w:val="22"/>
        </w:rPr>
        <w:t>a</w:t>
      </w:r>
      <w:r w:rsidR="004223EB" w:rsidRPr="005F23C5">
        <w:rPr>
          <w:rFonts w:cs="Arial"/>
          <w:sz w:val="22"/>
          <w:szCs w:val="22"/>
        </w:rPr>
        <w:t xml:space="preserve"> </w:t>
      </w:r>
      <w:r w:rsidR="007B459F" w:rsidRPr="005F23C5">
        <w:rPr>
          <w:rFonts w:cs="Arial"/>
          <w:sz w:val="22"/>
          <w:szCs w:val="22"/>
        </w:rPr>
        <w:t>23</w:t>
      </w:r>
      <w:r w:rsidR="007B459F">
        <w:rPr>
          <w:rFonts w:cs="Arial"/>
          <w:sz w:val="22"/>
          <w:szCs w:val="22"/>
        </w:rPr>
        <w:t>1</w:t>
      </w:r>
      <w:r w:rsidR="004223EB" w:rsidRPr="005F23C5">
        <w:rPr>
          <w:rFonts w:cs="Arial"/>
          <w:sz w:val="22"/>
          <w:szCs w:val="22"/>
        </w:rPr>
        <w:t xml:space="preserve">% increase from the prior year. While much of this increase was attributable to the </w:t>
      </w:r>
      <w:r w:rsidR="00672D1C" w:rsidRPr="000C6E7F">
        <w:rPr>
          <w:rFonts w:cs="Arial"/>
          <w:sz w:val="22"/>
          <w:szCs w:val="22"/>
        </w:rPr>
        <w:t xml:space="preserve">strong </w:t>
      </w:r>
      <w:r w:rsidR="004223EB" w:rsidRPr="000C6E7F">
        <w:rPr>
          <w:rFonts w:cs="Arial"/>
          <w:sz w:val="22"/>
          <w:szCs w:val="22"/>
        </w:rPr>
        <w:t xml:space="preserve">performance of </w:t>
      </w:r>
      <w:r w:rsidR="007B459F">
        <w:rPr>
          <w:rFonts w:cs="Arial"/>
          <w:sz w:val="22"/>
          <w:szCs w:val="22"/>
        </w:rPr>
        <w:t>Gilead Sciences</w:t>
      </w:r>
      <w:r w:rsidR="004223EB" w:rsidRPr="000C6E7F">
        <w:rPr>
          <w:rFonts w:cs="Arial"/>
          <w:sz w:val="22"/>
          <w:szCs w:val="22"/>
        </w:rPr>
        <w:t xml:space="preserve">, </w:t>
      </w:r>
      <w:r w:rsidR="001873D5" w:rsidRPr="001C76E9">
        <w:rPr>
          <w:rFonts w:cs="Arial"/>
          <w:sz w:val="22"/>
          <w:szCs w:val="22"/>
        </w:rPr>
        <w:t xml:space="preserve">overall net income still doubled </w:t>
      </w:r>
      <w:r w:rsidR="004223EB" w:rsidRPr="001C76E9">
        <w:rPr>
          <w:rFonts w:cs="Arial"/>
          <w:sz w:val="22"/>
          <w:szCs w:val="22"/>
        </w:rPr>
        <w:t xml:space="preserve">even </w:t>
      </w:r>
      <w:r w:rsidR="00672D1C" w:rsidRPr="001C76E9">
        <w:rPr>
          <w:rFonts w:cs="Arial"/>
          <w:sz w:val="22"/>
          <w:szCs w:val="22"/>
        </w:rPr>
        <w:t xml:space="preserve">after </w:t>
      </w:r>
      <w:r w:rsidR="004223EB" w:rsidRPr="001C76E9">
        <w:rPr>
          <w:rFonts w:cs="Arial"/>
          <w:sz w:val="22"/>
          <w:szCs w:val="22"/>
        </w:rPr>
        <w:t xml:space="preserve">adjusting for that </w:t>
      </w:r>
      <w:r w:rsidR="00672D1C" w:rsidRPr="001C76E9">
        <w:rPr>
          <w:rFonts w:cs="Arial"/>
          <w:sz w:val="22"/>
          <w:szCs w:val="22"/>
        </w:rPr>
        <w:t xml:space="preserve">company’s </w:t>
      </w:r>
      <w:r w:rsidR="004223EB" w:rsidRPr="001C76E9">
        <w:rPr>
          <w:rFonts w:cs="Arial"/>
          <w:sz w:val="22"/>
          <w:szCs w:val="22"/>
        </w:rPr>
        <w:t>perfo</w:t>
      </w:r>
      <w:r w:rsidR="001873D5" w:rsidRPr="001C76E9">
        <w:rPr>
          <w:rFonts w:cs="Arial"/>
          <w:sz w:val="22"/>
          <w:szCs w:val="22"/>
        </w:rPr>
        <w:t>rmance</w:t>
      </w:r>
      <w:r w:rsidR="004223EB" w:rsidRPr="001C76E9">
        <w:rPr>
          <w:rFonts w:cs="Arial"/>
          <w:sz w:val="22"/>
          <w:szCs w:val="22"/>
        </w:rPr>
        <w:t>.</w:t>
      </w:r>
      <w:r w:rsidR="00D97109" w:rsidRPr="001C76E9">
        <w:rPr>
          <w:rFonts w:cs="Arial"/>
          <w:sz w:val="22"/>
          <w:szCs w:val="22"/>
        </w:rPr>
        <w:t xml:space="preserve"> In contrast to 2009</w:t>
      </w:r>
      <w:r w:rsidR="00D97109">
        <w:rPr>
          <w:rFonts w:cs="Arial"/>
          <w:sz w:val="22"/>
          <w:szCs w:val="22"/>
        </w:rPr>
        <w:t>-</w:t>
      </w:r>
      <w:r w:rsidR="0050394C">
        <w:rPr>
          <w:rFonts w:cs="Arial"/>
          <w:sz w:val="22"/>
          <w:szCs w:val="22"/>
        </w:rPr>
        <w:t>20</w:t>
      </w:r>
      <w:r w:rsidR="00D97109">
        <w:rPr>
          <w:rFonts w:cs="Arial"/>
          <w:sz w:val="22"/>
          <w:szCs w:val="22"/>
        </w:rPr>
        <w:t>12, when biotechnology companies achieved profitability via cost</w:t>
      </w:r>
      <w:r w:rsidR="00A540F1">
        <w:rPr>
          <w:rFonts w:cs="Arial"/>
          <w:sz w:val="22"/>
          <w:szCs w:val="22"/>
        </w:rPr>
        <w:t xml:space="preserve"> </w:t>
      </w:r>
      <w:r w:rsidR="00D97109">
        <w:rPr>
          <w:rFonts w:cs="Arial"/>
          <w:sz w:val="22"/>
          <w:szCs w:val="22"/>
        </w:rPr>
        <w:t xml:space="preserve">cutting, the increase in aggregate net income in 2014 was driven by solid sales of newly launched products. </w:t>
      </w:r>
    </w:p>
    <w:p w:rsidR="00A540F1" w:rsidRPr="00D97109" w:rsidRDefault="0050394C" w:rsidP="000906A6">
      <w:pPr>
        <w:pStyle w:val="ListParagraph"/>
        <w:numPr>
          <w:ilvl w:val="0"/>
          <w:numId w:val="3"/>
        </w:numPr>
        <w:spacing w:after="200" w:line="360" w:lineRule="auto"/>
        <w:rPr>
          <w:rFonts w:ascii="Times New Roman" w:hAnsi="Times New Roman"/>
        </w:rPr>
      </w:pPr>
      <w:r w:rsidRPr="00891F5F">
        <w:rPr>
          <w:rFonts w:cs="Arial"/>
          <w:b/>
          <w:sz w:val="22"/>
          <w:szCs w:val="22"/>
        </w:rPr>
        <w:t>Research and development</w:t>
      </w:r>
      <w:r w:rsidRPr="00403B23">
        <w:rPr>
          <w:rFonts w:cs="Arial"/>
          <w:sz w:val="22"/>
          <w:szCs w:val="22"/>
        </w:rPr>
        <w:t xml:space="preserve"> </w:t>
      </w:r>
      <w:r>
        <w:rPr>
          <w:rFonts w:cs="Arial"/>
          <w:sz w:val="22"/>
          <w:szCs w:val="22"/>
        </w:rPr>
        <w:t>(</w:t>
      </w:r>
      <w:r w:rsidR="00A540F1" w:rsidRPr="00613593">
        <w:rPr>
          <w:rFonts w:cs="Arial"/>
          <w:b/>
          <w:sz w:val="22"/>
          <w:szCs w:val="22"/>
        </w:rPr>
        <w:t>R&amp;D</w:t>
      </w:r>
      <w:r>
        <w:rPr>
          <w:rFonts w:cs="Arial"/>
          <w:b/>
          <w:sz w:val="22"/>
          <w:szCs w:val="22"/>
        </w:rPr>
        <w:t>)</w:t>
      </w:r>
      <w:r w:rsidR="00A540F1" w:rsidRPr="00613593">
        <w:rPr>
          <w:rFonts w:cs="Arial"/>
          <w:b/>
          <w:sz w:val="22"/>
          <w:szCs w:val="22"/>
        </w:rPr>
        <w:t xml:space="preserve"> spending grows:</w:t>
      </w:r>
      <w:r w:rsidR="00A540F1" w:rsidRPr="00403B23">
        <w:rPr>
          <w:rFonts w:cs="Arial"/>
          <w:b/>
          <w:sz w:val="22"/>
          <w:szCs w:val="22"/>
        </w:rPr>
        <w:t xml:space="preserve"> </w:t>
      </w:r>
      <w:r>
        <w:rPr>
          <w:rFonts w:cs="Arial"/>
          <w:sz w:val="22"/>
          <w:szCs w:val="22"/>
        </w:rPr>
        <w:t>R&amp;D</w:t>
      </w:r>
      <w:r w:rsidR="00A540F1" w:rsidRPr="00403B23">
        <w:rPr>
          <w:rFonts w:cs="Arial"/>
          <w:sz w:val="22"/>
          <w:szCs w:val="22"/>
        </w:rPr>
        <w:t xml:space="preserve"> spending, a key indicator of the health of the sector, increased by 20%</w:t>
      </w:r>
      <w:r w:rsidR="00A540F1">
        <w:rPr>
          <w:rFonts w:cs="Arial"/>
          <w:sz w:val="22"/>
          <w:szCs w:val="22"/>
        </w:rPr>
        <w:t xml:space="preserve">. </w:t>
      </w:r>
      <w:r w:rsidR="00A540F1" w:rsidRPr="00403B23">
        <w:rPr>
          <w:rFonts w:cs="Arial"/>
          <w:sz w:val="22"/>
          <w:szCs w:val="22"/>
        </w:rPr>
        <w:t>This was the second year in a row that R&amp;D spending outpaced</w:t>
      </w:r>
      <w:r w:rsidR="00A540F1" w:rsidRPr="00613593">
        <w:rPr>
          <w:rFonts w:cs="Arial"/>
          <w:sz w:val="22"/>
          <w:szCs w:val="22"/>
        </w:rPr>
        <w:t xml:space="preserve"> the sector’s </w:t>
      </w:r>
      <w:r w:rsidR="00A540F1" w:rsidRPr="009F2381">
        <w:rPr>
          <w:rFonts w:cs="Arial"/>
          <w:sz w:val="22"/>
          <w:szCs w:val="22"/>
        </w:rPr>
        <w:t>revenue growth</w:t>
      </w:r>
      <w:r w:rsidR="00A540F1">
        <w:rPr>
          <w:rFonts w:cs="Arial"/>
          <w:sz w:val="22"/>
          <w:szCs w:val="22"/>
        </w:rPr>
        <w:t xml:space="preserve"> (adjusted for the skewing factors mentioned above), and smaller companies in both the US and Europe drove the uptick</w:t>
      </w:r>
      <w:r w:rsidR="00A540F1" w:rsidRPr="009F2381">
        <w:rPr>
          <w:rFonts w:cs="Arial"/>
          <w:sz w:val="22"/>
          <w:szCs w:val="22"/>
        </w:rPr>
        <w:t xml:space="preserve">.   </w:t>
      </w:r>
    </w:p>
    <w:p w:rsidR="00672D1C" w:rsidRPr="00A540F1" w:rsidRDefault="006103DB" w:rsidP="00CD2BD7">
      <w:pPr>
        <w:pStyle w:val="ListParagraph"/>
        <w:numPr>
          <w:ilvl w:val="0"/>
          <w:numId w:val="3"/>
        </w:numPr>
        <w:spacing w:after="200" w:line="360" w:lineRule="auto"/>
        <w:rPr>
          <w:rFonts w:cs="Arial"/>
          <w:sz w:val="22"/>
          <w:szCs w:val="22"/>
        </w:rPr>
      </w:pPr>
      <w:r w:rsidRPr="00CD2BD7">
        <w:rPr>
          <w:rFonts w:cs="Arial"/>
          <w:b/>
          <w:bCs/>
          <w:sz w:val="22"/>
          <w:szCs w:val="22"/>
        </w:rPr>
        <w:t>Fundraising sets</w:t>
      </w:r>
      <w:r w:rsidRPr="001F6A38">
        <w:rPr>
          <w:rFonts w:cs="Arial"/>
          <w:b/>
          <w:bCs/>
          <w:sz w:val="22"/>
          <w:szCs w:val="22"/>
        </w:rPr>
        <w:t xml:space="preserve"> record</w:t>
      </w:r>
      <w:r w:rsidR="00672D1C" w:rsidRPr="001F6A38">
        <w:rPr>
          <w:rFonts w:cs="Arial"/>
          <w:b/>
          <w:bCs/>
          <w:sz w:val="22"/>
          <w:szCs w:val="22"/>
        </w:rPr>
        <w:t>s</w:t>
      </w:r>
      <w:r w:rsidR="00C273DA" w:rsidRPr="001F6A38">
        <w:rPr>
          <w:rFonts w:cs="Arial"/>
          <w:b/>
          <w:bCs/>
          <w:sz w:val="22"/>
          <w:szCs w:val="22"/>
        </w:rPr>
        <w:t>:</w:t>
      </w:r>
      <w:r w:rsidR="00C273DA" w:rsidRPr="001F6A38">
        <w:rPr>
          <w:rFonts w:cs="Arial"/>
          <w:bCs/>
          <w:sz w:val="22"/>
          <w:szCs w:val="22"/>
        </w:rPr>
        <w:t xml:space="preserve"> Biotech companies in the US and Europe raised US$54.3</w:t>
      </w:r>
      <w:r w:rsidR="00C273DA" w:rsidRPr="00A540F1">
        <w:rPr>
          <w:rFonts w:cs="Arial"/>
          <w:bCs/>
          <w:sz w:val="22"/>
          <w:szCs w:val="22"/>
        </w:rPr>
        <w:t xml:space="preserve">b in 2014, a whopping 72% increase from </w:t>
      </w:r>
      <w:r w:rsidR="00D97109" w:rsidRPr="001F6A38">
        <w:rPr>
          <w:rFonts w:cs="Arial"/>
          <w:bCs/>
          <w:sz w:val="22"/>
          <w:szCs w:val="22"/>
        </w:rPr>
        <w:t xml:space="preserve">the </w:t>
      </w:r>
      <w:r w:rsidR="00C273DA" w:rsidRPr="00285E35">
        <w:rPr>
          <w:rFonts w:cs="Arial"/>
          <w:bCs/>
          <w:sz w:val="22"/>
          <w:szCs w:val="22"/>
        </w:rPr>
        <w:t xml:space="preserve">strong funding </w:t>
      </w:r>
      <w:r w:rsidR="00D97109" w:rsidRPr="00285E35">
        <w:rPr>
          <w:rFonts w:cs="Arial"/>
          <w:bCs/>
          <w:sz w:val="22"/>
          <w:szCs w:val="22"/>
        </w:rPr>
        <w:t>results achieved</w:t>
      </w:r>
      <w:r w:rsidR="00D97109" w:rsidRPr="00684E26">
        <w:rPr>
          <w:rFonts w:cs="Arial"/>
          <w:bCs/>
          <w:sz w:val="22"/>
          <w:szCs w:val="22"/>
        </w:rPr>
        <w:t xml:space="preserve"> </w:t>
      </w:r>
      <w:r w:rsidR="00C273DA" w:rsidRPr="00CD2BD7">
        <w:rPr>
          <w:rFonts w:cs="Arial"/>
          <w:bCs/>
          <w:sz w:val="22"/>
          <w:szCs w:val="22"/>
        </w:rPr>
        <w:t>in 2013.</w:t>
      </w:r>
      <w:r w:rsidR="001873D5" w:rsidRPr="00CD2BD7">
        <w:rPr>
          <w:rFonts w:cs="Arial"/>
          <w:bCs/>
          <w:sz w:val="22"/>
          <w:szCs w:val="22"/>
        </w:rPr>
        <w:t xml:space="preserve"> </w:t>
      </w:r>
      <w:r w:rsidR="0063794A" w:rsidRPr="001F6A38">
        <w:rPr>
          <w:rFonts w:cs="Arial"/>
          <w:sz w:val="22"/>
          <w:szCs w:val="22"/>
        </w:rPr>
        <w:t>C</w:t>
      </w:r>
      <w:r w:rsidR="00672D1C" w:rsidRPr="001F6A38">
        <w:rPr>
          <w:rFonts w:cs="Arial"/>
          <w:sz w:val="22"/>
          <w:szCs w:val="22"/>
        </w:rPr>
        <w:t xml:space="preserve">ompanies </w:t>
      </w:r>
      <w:r w:rsidR="00672D1C" w:rsidRPr="00285E35">
        <w:rPr>
          <w:rFonts w:cs="Arial"/>
          <w:sz w:val="22"/>
          <w:szCs w:val="22"/>
        </w:rPr>
        <w:t>raised a record</w:t>
      </w:r>
      <w:r w:rsidR="0063794A" w:rsidRPr="00285E35">
        <w:rPr>
          <w:rFonts w:cs="Arial"/>
          <w:sz w:val="22"/>
          <w:szCs w:val="22"/>
        </w:rPr>
        <w:t xml:space="preserve"> US$28.3</w:t>
      </w:r>
      <w:r w:rsidR="0063794A" w:rsidRPr="00A540F1">
        <w:rPr>
          <w:rFonts w:cs="Arial"/>
          <w:sz w:val="22"/>
          <w:szCs w:val="22"/>
        </w:rPr>
        <w:t>b in non-debt financing</w:t>
      </w:r>
      <w:r w:rsidR="00D97109" w:rsidRPr="001F6A38">
        <w:rPr>
          <w:rFonts w:cs="Arial"/>
          <w:sz w:val="22"/>
          <w:szCs w:val="22"/>
        </w:rPr>
        <w:t>, driven by the booming market for IPOs and follow-on offerings</w:t>
      </w:r>
      <w:r w:rsidR="00672D1C" w:rsidRPr="001F6A38">
        <w:rPr>
          <w:rFonts w:cs="Arial"/>
          <w:sz w:val="22"/>
          <w:szCs w:val="22"/>
        </w:rPr>
        <w:t xml:space="preserve">. </w:t>
      </w:r>
      <w:r w:rsidR="00057A4C" w:rsidRPr="001F6A38">
        <w:rPr>
          <w:rFonts w:cs="Arial"/>
          <w:bCs/>
          <w:sz w:val="22"/>
          <w:szCs w:val="22"/>
        </w:rPr>
        <w:t>“Innovation capital” — defined as the amount of equity capital raised by companies with</w:t>
      </w:r>
      <w:r w:rsidR="00057A4C" w:rsidRPr="00A540F1">
        <w:rPr>
          <w:rFonts w:cs="Arial"/>
          <w:bCs/>
          <w:sz w:val="22"/>
          <w:szCs w:val="22"/>
        </w:rPr>
        <w:t xml:space="preserve"> less than US$500m in revenues </w:t>
      </w:r>
      <w:r w:rsidR="005F23C5" w:rsidRPr="001F6A38">
        <w:rPr>
          <w:rFonts w:cs="Arial"/>
          <w:bCs/>
          <w:sz w:val="22"/>
          <w:szCs w:val="22"/>
        </w:rPr>
        <w:t>and a key metric of the sustainability of earlier stage biotechnology companies</w:t>
      </w:r>
      <w:r w:rsidR="00A540F1">
        <w:rPr>
          <w:rFonts w:cs="Arial"/>
          <w:bCs/>
          <w:sz w:val="22"/>
          <w:szCs w:val="22"/>
        </w:rPr>
        <w:t xml:space="preserve"> </w:t>
      </w:r>
      <w:r w:rsidR="00057A4C" w:rsidRPr="00A540F1">
        <w:rPr>
          <w:rFonts w:cs="Arial"/>
          <w:bCs/>
          <w:sz w:val="22"/>
          <w:szCs w:val="22"/>
        </w:rPr>
        <w:t xml:space="preserve">— hit an </w:t>
      </w:r>
      <w:r w:rsidR="00A540F1" w:rsidRPr="00A540F1">
        <w:rPr>
          <w:rFonts w:cs="Arial"/>
          <w:bCs/>
          <w:sz w:val="22"/>
          <w:szCs w:val="22"/>
        </w:rPr>
        <w:t>all</w:t>
      </w:r>
      <w:r w:rsidR="00A540F1">
        <w:rPr>
          <w:rFonts w:cs="Arial"/>
          <w:bCs/>
          <w:sz w:val="22"/>
          <w:szCs w:val="22"/>
        </w:rPr>
        <w:t>-</w:t>
      </w:r>
      <w:r w:rsidR="00057A4C" w:rsidRPr="00A540F1">
        <w:rPr>
          <w:rFonts w:cs="Arial"/>
          <w:bCs/>
          <w:sz w:val="22"/>
          <w:szCs w:val="22"/>
        </w:rPr>
        <w:t>time high of US$27.6b</w:t>
      </w:r>
      <w:r w:rsidR="005F23C5" w:rsidRPr="001F6A38">
        <w:rPr>
          <w:rFonts w:cs="Arial"/>
          <w:bCs/>
          <w:sz w:val="22"/>
          <w:szCs w:val="22"/>
        </w:rPr>
        <w:t>. That amount represents</w:t>
      </w:r>
      <w:r w:rsidR="005F23C5" w:rsidRPr="00285E35">
        <w:rPr>
          <w:rFonts w:cs="Arial"/>
          <w:bCs/>
          <w:sz w:val="22"/>
          <w:szCs w:val="22"/>
        </w:rPr>
        <w:t xml:space="preserve"> </w:t>
      </w:r>
      <w:r w:rsidR="005F23C5" w:rsidRPr="00684E26">
        <w:rPr>
          <w:rFonts w:cs="Arial"/>
          <w:bCs/>
          <w:sz w:val="22"/>
          <w:szCs w:val="22"/>
        </w:rPr>
        <w:t>a 120% increase from the annual average achieved from 2009-</w:t>
      </w:r>
      <w:r w:rsidR="00411A0A">
        <w:rPr>
          <w:rFonts w:cs="Arial"/>
          <w:bCs/>
          <w:sz w:val="22"/>
          <w:szCs w:val="22"/>
        </w:rPr>
        <w:t>20</w:t>
      </w:r>
      <w:r w:rsidR="005F23C5" w:rsidRPr="00684E26">
        <w:rPr>
          <w:rFonts w:cs="Arial"/>
          <w:bCs/>
          <w:sz w:val="22"/>
          <w:szCs w:val="22"/>
        </w:rPr>
        <w:t>12</w:t>
      </w:r>
      <w:r w:rsidR="005F23C5" w:rsidRPr="00CD2BD7">
        <w:rPr>
          <w:rFonts w:cs="Arial"/>
          <w:bCs/>
          <w:sz w:val="22"/>
          <w:szCs w:val="22"/>
        </w:rPr>
        <w:t xml:space="preserve">.  </w:t>
      </w:r>
    </w:p>
    <w:p w:rsidR="00C273DA" w:rsidRPr="00603C99" w:rsidRDefault="005E5E50" w:rsidP="005E5E50">
      <w:pPr>
        <w:pStyle w:val="ListParagraph"/>
        <w:numPr>
          <w:ilvl w:val="0"/>
          <w:numId w:val="3"/>
        </w:numPr>
        <w:spacing w:after="200" w:line="360" w:lineRule="auto"/>
        <w:rPr>
          <w:rFonts w:cs="Arial"/>
          <w:sz w:val="22"/>
          <w:szCs w:val="22"/>
        </w:rPr>
      </w:pPr>
      <w:r w:rsidRPr="00603C99">
        <w:rPr>
          <w:rFonts w:cs="Arial"/>
          <w:b/>
          <w:bCs/>
          <w:sz w:val="22"/>
          <w:szCs w:val="22"/>
        </w:rPr>
        <w:t xml:space="preserve">Venture </w:t>
      </w:r>
      <w:r w:rsidR="000C6E7F">
        <w:rPr>
          <w:rFonts w:cs="Arial"/>
          <w:b/>
          <w:bCs/>
          <w:sz w:val="22"/>
          <w:szCs w:val="22"/>
        </w:rPr>
        <w:t>financing</w:t>
      </w:r>
      <w:r w:rsidR="000C6E7F" w:rsidRPr="00603C99">
        <w:rPr>
          <w:rFonts w:cs="Arial"/>
          <w:b/>
          <w:bCs/>
          <w:sz w:val="22"/>
          <w:szCs w:val="22"/>
        </w:rPr>
        <w:t xml:space="preserve"> </w:t>
      </w:r>
      <w:r w:rsidRPr="00603C99">
        <w:rPr>
          <w:rFonts w:cs="Arial"/>
          <w:b/>
          <w:bCs/>
          <w:sz w:val="22"/>
          <w:szCs w:val="22"/>
        </w:rPr>
        <w:t>reaches near-record:</w:t>
      </w:r>
      <w:r w:rsidRPr="00603C99">
        <w:rPr>
          <w:rFonts w:cs="Arial"/>
          <w:bCs/>
          <w:sz w:val="22"/>
          <w:szCs w:val="22"/>
        </w:rPr>
        <w:t xml:space="preserve"> </w:t>
      </w:r>
      <w:r w:rsidR="00C273DA" w:rsidRPr="00603C99">
        <w:rPr>
          <w:rFonts w:cs="Arial"/>
          <w:bCs/>
          <w:sz w:val="22"/>
          <w:szCs w:val="22"/>
        </w:rPr>
        <w:t>US and European companies raised US$7.</w:t>
      </w:r>
      <w:r w:rsidR="00C273DA" w:rsidRPr="00603C99">
        <w:rPr>
          <w:rFonts w:cs="Arial"/>
          <w:sz w:val="22"/>
          <w:szCs w:val="22"/>
        </w:rPr>
        <w:t xml:space="preserve">6b in venture capital, a 28% increase from the prior year and just shy of the all-time record </w:t>
      </w:r>
      <w:r w:rsidR="00057A4C">
        <w:rPr>
          <w:rFonts w:cs="Arial"/>
          <w:sz w:val="22"/>
          <w:szCs w:val="22"/>
        </w:rPr>
        <w:t>of US$7.9b raised in 2007</w:t>
      </w:r>
      <w:r w:rsidR="00C273DA" w:rsidRPr="00603C99">
        <w:rPr>
          <w:rFonts w:cs="Arial"/>
          <w:sz w:val="22"/>
          <w:szCs w:val="22"/>
        </w:rPr>
        <w:t>.</w:t>
      </w:r>
      <w:r w:rsidRPr="00603C99">
        <w:rPr>
          <w:rFonts w:cs="Arial"/>
          <w:sz w:val="22"/>
          <w:szCs w:val="22"/>
        </w:rPr>
        <w:t xml:space="preserve"> </w:t>
      </w:r>
      <w:r w:rsidR="00A67888">
        <w:rPr>
          <w:rFonts w:cs="Arial"/>
          <w:sz w:val="22"/>
          <w:szCs w:val="22"/>
        </w:rPr>
        <w:t xml:space="preserve">In a positive sign for innovation, companies raising </w:t>
      </w:r>
      <w:r w:rsidR="00411A0A">
        <w:rPr>
          <w:rFonts w:cs="Arial"/>
          <w:sz w:val="22"/>
          <w:szCs w:val="22"/>
        </w:rPr>
        <w:t>early-</w:t>
      </w:r>
      <w:r w:rsidR="00A67888">
        <w:rPr>
          <w:rFonts w:cs="Arial"/>
          <w:sz w:val="22"/>
          <w:szCs w:val="22"/>
        </w:rPr>
        <w:t>stage rounds captured US$1.8</w:t>
      </w:r>
      <w:r w:rsidR="00A540F1">
        <w:rPr>
          <w:rFonts w:cs="Arial"/>
          <w:sz w:val="22"/>
          <w:szCs w:val="22"/>
        </w:rPr>
        <w:t>b</w:t>
      </w:r>
      <w:r w:rsidR="00A67888">
        <w:rPr>
          <w:rFonts w:cs="Arial"/>
          <w:sz w:val="22"/>
          <w:szCs w:val="22"/>
        </w:rPr>
        <w:t>, the greatest amount in at least the last decade.</w:t>
      </w:r>
    </w:p>
    <w:p w:rsidR="004330F7" w:rsidRPr="000906A6" w:rsidRDefault="00A9325F" w:rsidP="005457A2">
      <w:pPr>
        <w:pStyle w:val="ListParagraph"/>
        <w:numPr>
          <w:ilvl w:val="0"/>
          <w:numId w:val="3"/>
        </w:numPr>
        <w:spacing w:after="200" w:line="360" w:lineRule="auto"/>
        <w:rPr>
          <w:rFonts w:cs="Arial"/>
          <w:sz w:val="22"/>
          <w:szCs w:val="22"/>
        </w:rPr>
      </w:pPr>
      <w:r>
        <w:rPr>
          <w:rFonts w:cs="Arial"/>
          <w:b/>
          <w:bCs/>
          <w:sz w:val="22"/>
          <w:szCs w:val="22"/>
        </w:rPr>
        <w:t xml:space="preserve">A wide-open </w:t>
      </w:r>
      <w:r w:rsidR="0063794A" w:rsidRPr="00603C99">
        <w:rPr>
          <w:rFonts w:cs="Arial"/>
          <w:b/>
          <w:bCs/>
          <w:sz w:val="22"/>
          <w:szCs w:val="22"/>
        </w:rPr>
        <w:t>IPO window:</w:t>
      </w:r>
      <w:r w:rsidR="0063794A" w:rsidRPr="00603C99">
        <w:rPr>
          <w:rFonts w:cs="Arial"/>
          <w:bCs/>
          <w:sz w:val="22"/>
          <w:szCs w:val="22"/>
        </w:rPr>
        <w:t xml:space="preserve"> A record-</w:t>
      </w:r>
      <w:r w:rsidR="0063794A" w:rsidRPr="00603C99">
        <w:rPr>
          <w:rFonts w:cs="Arial"/>
          <w:sz w:val="22"/>
          <w:szCs w:val="22"/>
        </w:rPr>
        <w:t xml:space="preserve">breaking 94 US and European biotech companies went public in 2014, shattering the previous record of 79 IPOs in 2000. The US$6.8b raised from these IPOs is the second-highest total in the industry’s history, surpassed only by the US$7.8b raised </w:t>
      </w:r>
      <w:r w:rsidR="001873D5" w:rsidRPr="00057A4C">
        <w:rPr>
          <w:rFonts w:cs="Arial"/>
          <w:sz w:val="22"/>
          <w:szCs w:val="22"/>
        </w:rPr>
        <w:t>during the genomic bubble of</w:t>
      </w:r>
      <w:r w:rsidR="0063794A" w:rsidRPr="00057A4C">
        <w:rPr>
          <w:rFonts w:cs="Arial"/>
          <w:sz w:val="22"/>
          <w:szCs w:val="22"/>
        </w:rPr>
        <w:t xml:space="preserve"> 2000</w:t>
      </w:r>
      <w:r w:rsidR="0087762E" w:rsidRPr="00057A4C">
        <w:rPr>
          <w:rFonts w:cs="Arial"/>
          <w:sz w:val="22"/>
          <w:szCs w:val="22"/>
        </w:rPr>
        <w:t>.</w:t>
      </w:r>
      <w:r>
        <w:rPr>
          <w:rFonts w:cs="Arial"/>
          <w:sz w:val="22"/>
          <w:szCs w:val="22"/>
        </w:rPr>
        <w:t xml:space="preserve"> </w:t>
      </w:r>
      <w:r w:rsidR="00A67888">
        <w:rPr>
          <w:rFonts w:cs="Arial"/>
          <w:sz w:val="22"/>
          <w:szCs w:val="22"/>
        </w:rPr>
        <w:t>The IPO window, which began in 2013, remained strong for eight consecutive quarters, another new record.</w:t>
      </w:r>
    </w:p>
    <w:p w:rsidR="00C273DA" w:rsidRPr="00603C99" w:rsidRDefault="005E5E50" w:rsidP="005E5E50">
      <w:pPr>
        <w:pStyle w:val="ListParagraph"/>
        <w:numPr>
          <w:ilvl w:val="0"/>
          <w:numId w:val="3"/>
        </w:numPr>
        <w:spacing w:after="200" w:line="360" w:lineRule="auto"/>
        <w:rPr>
          <w:rFonts w:cs="Arial"/>
          <w:sz w:val="22"/>
          <w:szCs w:val="22"/>
        </w:rPr>
      </w:pPr>
      <w:r w:rsidRPr="00603C99">
        <w:rPr>
          <w:rFonts w:cs="Arial"/>
          <w:b/>
          <w:bCs/>
          <w:sz w:val="22"/>
          <w:szCs w:val="22"/>
        </w:rPr>
        <w:lastRenderedPageBreak/>
        <w:t>Dr</w:t>
      </w:r>
      <w:r w:rsidR="0058107E" w:rsidRPr="00603C99">
        <w:rPr>
          <w:rFonts w:cs="Arial"/>
          <w:b/>
          <w:bCs/>
          <w:sz w:val="22"/>
          <w:szCs w:val="22"/>
        </w:rPr>
        <w:t>ug approvals surge</w:t>
      </w:r>
      <w:r w:rsidR="00411A0A">
        <w:rPr>
          <w:rFonts w:cs="Arial"/>
          <w:b/>
          <w:bCs/>
          <w:sz w:val="22"/>
          <w:szCs w:val="22"/>
        </w:rPr>
        <w:t>:</w:t>
      </w:r>
      <w:r w:rsidR="00411A0A" w:rsidRPr="00603C99">
        <w:rPr>
          <w:rFonts w:cs="Arial"/>
          <w:sz w:val="22"/>
          <w:szCs w:val="22"/>
        </w:rPr>
        <w:t xml:space="preserve"> </w:t>
      </w:r>
      <w:r w:rsidR="00C273DA" w:rsidRPr="00603C99">
        <w:rPr>
          <w:rFonts w:cs="Arial"/>
          <w:sz w:val="22"/>
          <w:szCs w:val="22"/>
        </w:rPr>
        <w:t>Efforts by the U</w:t>
      </w:r>
      <w:r w:rsidR="00A9325F">
        <w:rPr>
          <w:rFonts w:cs="Arial"/>
          <w:sz w:val="22"/>
          <w:szCs w:val="22"/>
        </w:rPr>
        <w:t>.</w:t>
      </w:r>
      <w:r w:rsidR="00C273DA" w:rsidRPr="00603C99">
        <w:rPr>
          <w:rFonts w:cs="Arial"/>
          <w:sz w:val="22"/>
          <w:szCs w:val="22"/>
        </w:rPr>
        <w:t>S</w:t>
      </w:r>
      <w:r w:rsidR="004330F7">
        <w:rPr>
          <w:rFonts w:cs="Arial"/>
          <w:sz w:val="22"/>
          <w:szCs w:val="22"/>
        </w:rPr>
        <w:t xml:space="preserve">. </w:t>
      </w:r>
      <w:r w:rsidR="00C273DA" w:rsidRPr="00603C99">
        <w:rPr>
          <w:rFonts w:cs="Arial"/>
          <w:sz w:val="22"/>
          <w:szCs w:val="22"/>
        </w:rPr>
        <w:t>Food and Drug Administration (FDA</w:t>
      </w:r>
      <w:r w:rsidR="00D425D2">
        <w:rPr>
          <w:rFonts w:cs="Arial"/>
          <w:sz w:val="22"/>
          <w:szCs w:val="22"/>
        </w:rPr>
        <w:t>) to get differentiated medicines</w:t>
      </w:r>
      <w:r w:rsidR="00C273DA" w:rsidRPr="00603C99">
        <w:rPr>
          <w:rFonts w:cs="Arial"/>
          <w:sz w:val="22"/>
          <w:szCs w:val="22"/>
        </w:rPr>
        <w:t xml:space="preserve"> to market contribute</w:t>
      </w:r>
      <w:r w:rsidR="0014483F">
        <w:rPr>
          <w:rFonts w:cs="Arial"/>
          <w:sz w:val="22"/>
          <w:szCs w:val="22"/>
        </w:rPr>
        <w:t>d</w:t>
      </w:r>
      <w:r w:rsidR="00C273DA" w:rsidRPr="00603C99">
        <w:rPr>
          <w:rFonts w:cs="Arial"/>
          <w:sz w:val="22"/>
          <w:szCs w:val="22"/>
        </w:rPr>
        <w:t xml:space="preserve"> to</w:t>
      </w:r>
      <w:r w:rsidR="00D425D2">
        <w:rPr>
          <w:rFonts w:cs="Arial"/>
          <w:sz w:val="22"/>
          <w:szCs w:val="22"/>
        </w:rPr>
        <w:t xml:space="preserve"> </w:t>
      </w:r>
      <w:r w:rsidR="00C273DA" w:rsidRPr="00603C99">
        <w:rPr>
          <w:rFonts w:cs="Arial"/>
          <w:sz w:val="22"/>
          <w:szCs w:val="22"/>
        </w:rPr>
        <w:t xml:space="preserve">41 </w:t>
      </w:r>
      <w:r w:rsidR="00D425D2">
        <w:rPr>
          <w:rFonts w:cs="Arial"/>
          <w:sz w:val="22"/>
          <w:szCs w:val="22"/>
        </w:rPr>
        <w:t xml:space="preserve">product approvals in 2014, up from the </w:t>
      </w:r>
      <w:r w:rsidR="00A9325F">
        <w:rPr>
          <w:rFonts w:cs="Arial"/>
          <w:sz w:val="22"/>
          <w:szCs w:val="22"/>
        </w:rPr>
        <w:t xml:space="preserve">27 </w:t>
      </w:r>
      <w:r w:rsidR="00D425D2">
        <w:rPr>
          <w:rFonts w:cs="Arial"/>
          <w:sz w:val="22"/>
          <w:szCs w:val="22"/>
        </w:rPr>
        <w:t>approvals in 2013. M</w:t>
      </w:r>
      <w:r w:rsidR="00C273DA" w:rsidRPr="00603C99">
        <w:rPr>
          <w:rFonts w:cs="Arial"/>
          <w:sz w:val="22"/>
          <w:szCs w:val="22"/>
        </w:rPr>
        <w:t xml:space="preserve">ore than three-quarters </w:t>
      </w:r>
      <w:r w:rsidR="00D425D2">
        <w:rPr>
          <w:rFonts w:cs="Arial"/>
          <w:sz w:val="22"/>
          <w:szCs w:val="22"/>
        </w:rPr>
        <w:t xml:space="preserve">of these 2014 approvals </w:t>
      </w:r>
      <w:r w:rsidR="00C273DA" w:rsidRPr="00603C99">
        <w:rPr>
          <w:rFonts w:cs="Arial"/>
          <w:sz w:val="22"/>
          <w:szCs w:val="22"/>
        </w:rPr>
        <w:t>were on first filings.</w:t>
      </w:r>
    </w:p>
    <w:p w:rsidR="0087762E" w:rsidRPr="00603C99" w:rsidRDefault="00411A0A" w:rsidP="00C273DA">
      <w:pPr>
        <w:pStyle w:val="ListParagraph"/>
        <w:numPr>
          <w:ilvl w:val="0"/>
          <w:numId w:val="3"/>
        </w:numPr>
        <w:spacing w:after="200" w:line="360" w:lineRule="auto"/>
        <w:rPr>
          <w:rFonts w:cs="Arial"/>
          <w:sz w:val="22"/>
          <w:szCs w:val="22"/>
        </w:rPr>
      </w:pPr>
      <w:r w:rsidRPr="007A6D19">
        <w:rPr>
          <w:rFonts w:cs="Arial"/>
          <w:b/>
          <w:sz w:val="22"/>
          <w:szCs w:val="22"/>
        </w:rPr>
        <w:t>Mergers and acquisitions (M&amp;A)</w:t>
      </w:r>
      <w:r>
        <w:rPr>
          <w:rFonts w:cs="Arial"/>
          <w:sz w:val="22"/>
          <w:szCs w:val="22"/>
        </w:rPr>
        <w:t xml:space="preserve"> </w:t>
      </w:r>
      <w:r w:rsidR="0087762E" w:rsidRPr="00603C99">
        <w:rPr>
          <w:rFonts w:cs="Arial"/>
          <w:b/>
          <w:sz w:val="22"/>
          <w:szCs w:val="22"/>
        </w:rPr>
        <w:t>skyrocket</w:t>
      </w:r>
      <w:r w:rsidR="00352EF6" w:rsidRPr="007A6D19">
        <w:rPr>
          <w:rFonts w:cs="Arial"/>
          <w:b/>
          <w:sz w:val="22"/>
          <w:szCs w:val="22"/>
        </w:rPr>
        <w:t>:</w:t>
      </w:r>
      <w:r w:rsidR="00352EF6" w:rsidRPr="00603C99">
        <w:rPr>
          <w:rFonts w:cs="Arial"/>
          <w:sz w:val="22"/>
          <w:szCs w:val="22"/>
        </w:rPr>
        <w:t xml:space="preserve"> </w:t>
      </w:r>
      <w:r w:rsidR="0014483F">
        <w:rPr>
          <w:rFonts w:cs="Arial"/>
          <w:sz w:val="22"/>
          <w:szCs w:val="22"/>
        </w:rPr>
        <w:t xml:space="preserve">M&amp;A activity in 2014 </w:t>
      </w:r>
      <w:r w:rsidR="0087762E" w:rsidRPr="00603C99">
        <w:rPr>
          <w:rFonts w:cs="Arial"/>
          <w:sz w:val="22"/>
          <w:szCs w:val="22"/>
        </w:rPr>
        <w:t xml:space="preserve">reached a 10-year high in </w:t>
      </w:r>
      <w:r w:rsidR="007B459F">
        <w:rPr>
          <w:rFonts w:cs="Arial"/>
          <w:sz w:val="22"/>
          <w:szCs w:val="22"/>
        </w:rPr>
        <w:t>deal volume</w:t>
      </w:r>
      <w:r w:rsidR="000B337A">
        <w:rPr>
          <w:rFonts w:cs="Arial"/>
          <w:sz w:val="22"/>
          <w:szCs w:val="22"/>
        </w:rPr>
        <w:t xml:space="preserve"> as pharmaceutical companies increased their buying activity</w:t>
      </w:r>
      <w:r w:rsidR="007B459F">
        <w:rPr>
          <w:rFonts w:cs="Arial"/>
          <w:sz w:val="22"/>
          <w:szCs w:val="22"/>
        </w:rPr>
        <w:t xml:space="preserve">. </w:t>
      </w:r>
      <w:r w:rsidR="0087762E" w:rsidRPr="00603C99">
        <w:rPr>
          <w:rFonts w:cs="Arial"/>
          <w:sz w:val="22"/>
          <w:szCs w:val="22"/>
        </w:rPr>
        <w:t>There were 68 biotechnology M&amp;A deals with a total value of US$49b</w:t>
      </w:r>
      <w:r w:rsidR="00D22155">
        <w:rPr>
          <w:rFonts w:cs="Arial"/>
          <w:sz w:val="22"/>
          <w:szCs w:val="22"/>
        </w:rPr>
        <w:t xml:space="preserve"> in 2014</w:t>
      </w:r>
      <w:r w:rsidR="007B459F">
        <w:rPr>
          <w:rFonts w:cs="Arial"/>
          <w:sz w:val="22"/>
          <w:szCs w:val="22"/>
        </w:rPr>
        <w:t xml:space="preserve">. </w:t>
      </w:r>
      <w:r w:rsidR="0087762E" w:rsidRPr="00603C99">
        <w:rPr>
          <w:rFonts w:cs="Arial"/>
          <w:sz w:val="22"/>
          <w:szCs w:val="22"/>
        </w:rPr>
        <w:t xml:space="preserve">2014 was </w:t>
      </w:r>
      <w:r w:rsidR="00352EF6" w:rsidRPr="00603C99">
        <w:rPr>
          <w:rFonts w:cs="Arial"/>
          <w:sz w:val="22"/>
          <w:szCs w:val="22"/>
        </w:rPr>
        <w:t xml:space="preserve">also </w:t>
      </w:r>
      <w:r w:rsidR="0087762E" w:rsidRPr="00603C99">
        <w:rPr>
          <w:rFonts w:cs="Arial"/>
          <w:sz w:val="22"/>
          <w:szCs w:val="22"/>
        </w:rPr>
        <w:t xml:space="preserve">the most lucrative </w:t>
      </w:r>
      <w:r w:rsidR="00E70BAA">
        <w:rPr>
          <w:rFonts w:cs="Arial"/>
          <w:sz w:val="22"/>
          <w:szCs w:val="22"/>
        </w:rPr>
        <w:t xml:space="preserve">time </w:t>
      </w:r>
      <w:r w:rsidR="004330F7">
        <w:rPr>
          <w:rFonts w:cs="Arial"/>
          <w:sz w:val="22"/>
          <w:szCs w:val="22"/>
        </w:rPr>
        <w:t xml:space="preserve">in at least the last eight years </w:t>
      </w:r>
      <w:r w:rsidR="00E70BAA">
        <w:rPr>
          <w:rFonts w:cs="Arial"/>
          <w:sz w:val="22"/>
          <w:szCs w:val="22"/>
        </w:rPr>
        <w:t xml:space="preserve">for </w:t>
      </w:r>
      <w:proofErr w:type="spellStart"/>
      <w:r w:rsidR="00E70BAA">
        <w:rPr>
          <w:rFonts w:cs="Arial"/>
          <w:sz w:val="22"/>
          <w:szCs w:val="22"/>
        </w:rPr>
        <w:t>biotechs</w:t>
      </w:r>
      <w:proofErr w:type="spellEnd"/>
      <w:r w:rsidR="00E70BAA">
        <w:rPr>
          <w:rFonts w:cs="Arial"/>
          <w:sz w:val="22"/>
          <w:szCs w:val="22"/>
        </w:rPr>
        <w:t xml:space="preserve"> to </w:t>
      </w:r>
      <w:r w:rsidR="004330F7">
        <w:rPr>
          <w:rFonts w:cs="Arial"/>
          <w:sz w:val="22"/>
          <w:szCs w:val="22"/>
        </w:rPr>
        <w:t>enter</w:t>
      </w:r>
      <w:r w:rsidR="00E70BAA">
        <w:rPr>
          <w:rFonts w:cs="Arial"/>
          <w:sz w:val="22"/>
          <w:szCs w:val="22"/>
        </w:rPr>
        <w:t xml:space="preserve"> </w:t>
      </w:r>
      <w:r w:rsidR="0087762E" w:rsidRPr="00603C99">
        <w:rPr>
          <w:rFonts w:cs="Arial"/>
          <w:sz w:val="22"/>
          <w:szCs w:val="22"/>
        </w:rPr>
        <w:t>alliances</w:t>
      </w:r>
      <w:r w:rsidR="004338AD">
        <w:rPr>
          <w:rFonts w:cs="Arial"/>
          <w:sz w:val="22"/>
          <w:szCs w:val="22"/>
        </w:rPr>
        <w:t>. A</w:t>
      </w:r>
      <w:r w:rsidR="00F439F0">
        <w:rPr>
          <w:rFonts w:cs="Arial"/>
          <w:sz w:val="22"/>
          <w:szCs w:val="22"/>
        </w:rPr>
        <w:t>s a percentage of total deal value, up-front payments reached 11%, while the total dollars paid up front soared 96% to US$5.1</w:t>
      </w:r>
      <w:r w:rsidR="00E976A0">
        <w:rPr>
          <w:rFonts w:cs="Arial"/>
          <w:sz w:val="22"/>
          <w:szCs w:val="22"/>
        </w:rPr>
        <w:t>b</w:t>
      </w:r>
      <w:r w:rsidR="00F439F0">
        <w:rPr>
          <w:rFonts w:cs="Arial"/>
          <w:sz w:val="22"/>
          <w:szCs w:val="22"/>
        </w:rPr>
        <w:t xml:space="preserve">.  </w:t>
      </w:r>
    </w:p>
    <w:p w:rsidR="0087762E" w:rsidRPr="00EA0ED8" w:rsidRDefault="00653499" w:rsidP="00352EF6">
      <w:pPr>
        <w:spacing w:line="360" w:lineRule="auto"/>
        <w:rPr>
          <w:rFonts w:cs="Arial"/>
          <w:bCs/>
          <w:sz w:val="22"/>
          <w:szCs w:val="22"/>
        </w:rPr>
      </w:pPr>
      <w:r>
        <w:rPr>
          <w:rFonts w:cs="Arial"/>
          <w:bCs/>
          <w:sz w:val="22"/>
          <w:szCs w:val="22"/>
        </w:rPr>
        <w:t xml:space="preserve">For all its successes, the sector </w:t>
      </w:r>
      <w:r w:rsidR="00CD4410">
        <w:rPr>
          <w:rFonts w:cs="Arial"/>
          <w:bCs/>
          <w:sz w:val="22"/>
          <w:szCs w:val="22"/>
        </w:rPr>
        <w:t>has</w:t>
      </w:r>
      <w:r>
        <w:rPr>
          <w:rFonts w:cs="Arial"/>
          <w:bCs/>
          <w:sz w:val="22"/>
          <w:szCs w:val="22"/>
        </w:rPr>
        <w:t xml:space="preserve"> some significant challenges </w:t>
      </w:r>
      <w:r w:rsidR="00CD4410">
        <w:rPr>
          <w:rFonts w:cs="Arial"/>
          <w:bCs/>
          <w:sz w:val="22"/>
          <w:szCs w:val="22"/>
        </w:rPr>
        <w:t>ahead</w:t>
      </w:r>
      <w:r>
        <w:rPr>
          <w:rFonts w:cs="Arial"/>
          <w:bCs/>
          <w:sz w:val="22"/>
          <w:szCs w:val="22"/>
        </w:rPr>
        <w:t xml:space="preserve">.  </w:t>
      </w:r>
      <w:r w:rsidR="0087762E" w:rsidRPr="0014483F">
        <w:rPr>
          <w:rFonts w:cs="Arial"/>
          <w:bCs/>
          <w:sz w:val="22"/>
          <w:szCs w:val="22"/>
        </w:rPr>
        <w:t>“</w:t>
      </w:r>
      <w:r>
        <w:rPr>
          <w:rFonts w:cs="Arial"/>
          <w:bCs/>
          <w:sz w:val="22"/>
          <w:szCs w:val="22"/>
        </w:rPr>
        <w:t xml:space="preserve">A number of </w:t>
      </w:r>
      <w:r w:rsidR="004330F7">
        <w:rPr>
          <w:rFonts w:cs="Arial"/>
          <w:bCs/>
          <w:sz w:val="22"/>
          <w:szCs w:val="22"/>
        </w:rPr>
        <w:t>mature biotech companies</w:t>
      </w:r>
      <w:r>
        <w:rPr>
          <w:rFonts w:cs="Arial"/>
          <w:bCs/>
          <w:sz w:val="22"/>
          <w:szCs w:val="22"/>
        </w:rPr>
        <w:t xml:space="preserve"> may face</w:t>
      </w:r>
      <w:r w:rsidR="004330F7">
        <w:rPr>
          <w:rFonts w:cs="Arial"/>
          <w:bCs/>
          <w:sz w:val="22"/>
          <w:szCs w:val="22"/>
        </w:rPr>
        <w:t xml:space="preserve"> </w:t>
      </w:r>
      <w:r>
        <w:rPr>
          <w:rFonts w:cs="Arial"/>
          <w:bCs/>
          <w:sz w:val="22"/>
          <w:szCs w:val="22"/>
        </w:rPr>
        <w:t xml:space="preserve">additional </w:t>
      </w:r>
      <w:r w:rsidR="004330F7">
        <w:rPr>
          <w:rFonts w:cs="Arial"/>
          <w:bCs/>
          <w:sz w:val="22"/>
          <w:szCs w:val="22"/>
        </w:rPr>
        <w:t>headwinds</w:t>
      </w:r>
      <w:r>
        <w:rPr>
          <w:rFonts w:cs="Arial"/>
          <w:bCs/>
          <w:sz w:val="22"/>
          <w:szCs w:val="22"/>
        </w:rPr>
        <w:t xml:space="preserve">,” says Jeffrey Greene, EY’s Global Life Sciences Transactions </w:t>
      </w:r>
      <w:r w:rsidR="00CD44B9">
        <w:rPr>
          <w:rFonts w:cs="Arial"/>
          <w:bCs/>
          <w:sz w:val="22"/>
          <w:szCs w:val="22"/>
        </w:rPr>
        <w:t xml:space="preserve">Advisory Services </w:t>
      </w:r>
      <w:r>
        <w:rPr>
          <w:rFonts w:cs="Arial"/>
          <w:bCs/>
          <w:sz w:val="22"/>
          <w:szCs w:val="22"/>
        </w:rPr>
        <w:t>Leader. “</w:t>
      </w:r>
      <w:r w:rsidR="00CD4410">
        <w:rPr>
          <w:rFonts w:cs="Arial"/>
          <w:bCs/>
          <w:sz w:val="22"/>
          <w:szCs w:val="22"/>
        </w:rPr>
        <w:t>As firms deal with</w:t>
      </w:r>
      <w:r w:rsidRPr="0014483F">
        <w:rPr>
          <w:rFonts w:cs="Arial"/>
          <w:bCs/>
          <w:sz w:val="22"/>
          <w:szCs w:val="22"/>
        </w:rPr>
        <w:t xml:space="preserve"> </w:t>
      </w:r>
      <w:r>
        <w:rPr>
          <w:rFonts w:cs="Arial"/>
          <w:bCs/>
          <w:sz w:val="22"/>
          <w:szCs w:val="22"/>
        </w:rPr>
        <w:t xml:space="preserve">pricing pressures and </w:t>
      </w:r>
      <w:r w:rsidRPr="0014483F">
        <w:rPr>
          <w:rFonts w:cs="Arial"/>
          <w:bCs/>
          <w:sz w:val="22"/>
          <w:szCs w:val="22"/>
        </w:rPr>
        <w:t>increased competition</w:t>
      </w:r>
      <w:r>
        <w:rPr>
          <w:rFonts w:cs="Arial"/>
          <w:bCs/>
          <w:sz w:val="22"/>
          <w:szCs w:val="22"/>
        </w:rPr>
        <w:t xml:space="preserve">, including from </w:t>
      </w:r>
      <w:proofErr w:type="spellStart"/>
      <w:r>
        <w:rPr>
          <w:rFonts w:cs="Arial"/>
          <w:bCs/>
          <w:sz w:val="22"/>
          <w:szCs w:val="22"/>
        </w:rPr>
        <w:t>biosimilars</w:t>
      </w:r>
      <w:proofErr w:type="spellEnd"/>
      <w:r w:rsidR="00CD4410">
        <w:rPr>
          <w:rFonts w:cs="Arial"/>
          <w:bCs/>
          <w:sz w:val="22"/>
          <w:szCs w:val="22"/>
        </w:rPr>
        <w:t>, they will need new sources of growth.</w:t>
      </w:r>
      <w:r>
        <w:rPr>
          <w:rFonts w:cs="Arial"/>
          <w:bCs/>
          <w:sz w:val="22"/>
          <w:szCs w:val="22"/>
        </w:rPr>
        <w:t xml:space="preserve"> </w:t>
      </w:r>
      <w:r w:rsidR="00D22155">
        <w:rPr>
          <w:rFonts w:cs="Arial"/>
          <w:bCs/>
          <w:sz w:val="22"/>
          <w:szCs w:val="22"/>
        </w:rPr>
        <w:t>A</w:t>
      </w:r>
      <w:r>
        <w:rPr>
          <w:rFonts w:cs="Arial"/>
          <w:bCs/>
          <w:sz w:val="22"/>
          <w:szCs w:val="22"/>
        </w:rPr>
        <w:t>chieving</w:t>
      </w:r>
      <w:r w:rsidRPr="0014483F">
        <w:rPr>
          <w:rFonts w:cs="Arial"/>
          <w:bCs/>
          <w:sz w:val="22"/>
          <w:szCs w:val="22"/>
        </w:rPr>
        <w:t xml:space="preserve"> </w:t>
      </w:r>
      <w:r w:rsidR="00D22155">
        <w:rPr>
          <w:rFonts w:cs="Arial"/>
          <w:bCs/>
          <w:sz w:val="22"/>
          <w:szCs w:val="22"/>
        </w:rPr>
        <w:t xml:space="preserve">such </w:t>
      </w:r>
      <w:r w:rsidRPr="0014483F">
        <w:rPr>
          <w:rFonts w:cs="Arial"/>
          <w:bCs/>
          <w:sz w:val="22"/>
          <w:szCs w:val="22"/>
        </w:rPr>
        <w:t xml:space="preserve">growth through </w:t>
      </w:r>
      <w:r>
        <w:rPr>
          <w:rFonts w:cs="Arial"/>
          <w:bCs/>
          <w:sz w:val="22"/>
          <w:szCs w:val="22"/>
        </w:rPr>
        <w:t xml:space="preserve">deals and acquisitions </w:t>
      </w:r>
      <w:r w:rsidR="00CD4410">
        <w:rPr>
          <w:rFonts w:cs="Arial"/>
          <w:bCs/>
          <w:sz w:val="22"/>
          <w:szCs w:val="22"/>
        </w:rPr>
        <w:t>will likely</w:t>
      </w:r>
      <w:r>
        <w:rPr>
          <w:rFonts w:cs="Arial"/>
          <w:bCs/>
          <w:sz w:val="22"/>
          <w:szCs w:val="22"/>
        </w:rPr>
        <w:t xml:space="preserve"> be </w:t>
      </w:r>
      <w:r w:rsidRPr="0014483F">
        <w:rPr>
          <w:rFonts w:cs="Arial"/>
          <w:bCs/>
          <w:sz w:val="22"/>
          <w:szCs w:val="22"/>
        </w:rPr>
        <w:t>more costly and challenging.</w:t>
      </w:r>
      <w:r>
        <w:rPr>
          <w:rFonts w:cs="Arial"/>
          <w:bCs/>
          <w:sz w:val="22"/>
          <w:szCs w:val="22"/>
        </w:rPr>
        <w:t xml:space="preserve"> </w:t>
      </w:r>
      <w:r w:rsidR="0087762E" w:rsidRPr="0014483F">
        <w:rPr>
          <w:rFonts w:cs="Arial"/>
          <w:bCs/>
          <w:sz w:val="22"/>
          <w:szCs w:val="22"/>
        </w:rPr>
        <w:t>Today’s M&amp;A landscape is clearly a seller’s marke</w:t>
      </w:r>
      <w:r w:rsidR="00352EF6" w:rsidRPr="0014483F">
        <w:rPr>
          <w:rFonts w:cs="Arial"/>
          <w:bCs/>
          <w:sz w:val="22"/>
          <w:szCs w:val="22"/>
        </w:rPr>
        <w:t>t</w:t>
      </w:r>
      <w:r w:rsidR="00CD4410">
        <w:rPr>
          <w:rFonts w:cs="Arial"/>
          <w:bCs/>
          <w:sz w:val="22"/>
          <w:szCs w:val="22"/>
        </w:rPr>
        <w:t>.</w:t>
      </w:r>
      <w:r w:rsidR="004330F7">
        <w:rPr>
          <w:rFonts w:cs="Arial"/>
          <w:bCs/>
          <w:sz w:val="22"/>
          <w:szCs w:val="22"/>
        </w:rPr>
        <w:t xml:space="preserve"> </w:t>
      </w:r>
      <w:r w:rsidR="00CD4410">
        <w:rPr>
          <w:rFonts w:cs="Arial"/>
          <w:bCs/>
          <w:sz w:val="22"/>
          <w:szCs w:val="22"/>
        </w:rPr>
        <w:t>A</w:t>
      </w:r>
      <w:r w:rsidR="004330F7">
        <w:rPr>
          <w:rFonts w:cs="Arial"/>
          <w:bCs/>
          <w:sz w:val="22"/>
          <w:szCs w:val="22"/>
        </w:rPr>
        <w:t>ssets that c</w:t>
      </w:r>
      <w:r w:rsidR="00CD4410">
        <w:rPr>
          <w:rFonts w:cs="Arial"/>
          <w:bCs/>
          <w:sz w:val="22"/>
          <w:szCs w:val="22"/>
        </w:rPr>
        <w:t>ould</w:t>
      </w:r>
      <w:r w:rsidR="004330F7">
        <w:rPr>
          <w:rFonts w:cs="Arial"/>
          <w:bCs/>
          <w:sz w:val="22"/>
          <w:szCs w:val="22"/>
        </w:rPr>
        <w:t xml:space="preserve"> </w:t>
      </w:r>
      <w:r>
        <w:rPr>
          <w:rFonts w:cs="Arial"/>
          <w:bCs/>
          <w:sz w:val="22"/>
          <w:szCs w:val="22"/>
        </w:rPr>
        <w:t>tangibl</w:t>
      </w:r>
      <w:r w:rsidR="00CD4410">
        <w:rPr>
          <w:rFonts w:cs="Arial"/>
          <w:bCs/>
          <w:sz w:val="22"/>
          <w:szCs w:val="22"/>
        </w:rPr>
        <w:t>y</w:t>
      </w:r>
      <w:r w:rsidR="004330F7">
        <w:rPr>
          <w:rFonts w:cs="Arial"/>
          <w:bCs/>
          <w:sz w:val="22"/>
          <w:szCs w:val="22"/>
        </w:rPr>
        <w:t xml:space="preserve"> </w:t>
      </w:r>
      <w:r w:rsidR="00E976A0">
        <w:rPr>
          <w:rFonts w:cs="Arial"/>
          <w:bCs/>
          <w:sz w:val="22"/>
          <w:szCs w:val="22"/>
        </w:rPr>
        <w:t>affect</w:t>
      </w:r>
      <w:r w:rsidR="00CD4410">
        <w:rPr>
          <w:rFonts w:cs="Arial"/>
          <w:bCs/>
          <w:sz w:val="22"/>
          <w:szCs w:val="22"/>
        </w:rPr>
        <w:t xml:space="preserve"> </w:t>
      </w:r>
      <w:r w:rsidR="004330F7">
        <w:rPr>
          <w:rFonts w:cs="Arial"/>
          <w:bCs/>
          <w:sz w:val="22"/>
          <w:szCs w:val="22"/>
        </w:rPr>
        <w:t xml:space="preserve">a </w:t>
      </w:r>
      <w:r>
        <w:rPr>
          <w:rFonts w:cs="Arial"/>
          <w:bCs/>
          <w:sz w:val="22"/>
          <w:szCs w:val="22"/>
        </w:rPr>
        <w:t>buyer’s</w:t>
      </w:r>
      <w:r w:rsidR="004330F7">
        <w:rPr>
          <w:rFonts w:cs="Arial"/>
          <w:bCs/>
          <w:sz w:val="22"/>
          <w:szCs w:val="22"/>
        </w:rPr>
        <w:t xml:space="preserve"> </w:t>
      </w:r>
      <w:r w:rsidR="00CD4410">
        <w:rPr>
          <w:rFonts w:cs="Arial"/>
          <w:bCs/>
          <w:sz w:val="22"/>
          <w:szCs w:val="22"/>
        </w:rPr>
        <w:t>financial performance</w:t>
      </w:r>
      <w:r w:rsidR="004330F7">
        <w:rPr>
          <w:rFonts w:cs="Arial"/>
          <w:bCs/>
          <w:sz w:val="22"/>
          <w:szCs w:val="22"/>
        </w:rPr>
        <w:t xml:space="preserve"> are scar</w:t>
      </w:r>
      <w:r w:rsidR="00A540F1">
        <w:rPr>
          <w:rFonts w:cs="Arial"/>
          <w:bCs/>
          <w:sz w:val="22"/>
          <w:szCs w:val="22"/>
        </w:rPr>
        <w:t>c</w:t>
      </w:r>
      <w:r w:rsidR="004330F7">
        <w:rPr>
          <w:rFonts w:cs="Arial"/>
          <w:bCs/>
          <w:sz w:val="22"/>
          <w:szCs w:val="22"/>
        </w:rPr>
        <w:t xml:space="preserve">e, and </w:t>
      </w:r>
      <w:r w:rsidR="00CD4410">
        <w:rPr>
          <w:rFonts w:cs="Arial"/>
          <w:bCs/>
          <w:sz w:val="22"/>
          <w:szCs w:val="22"/>
        </w:rPr>
        <w:t>they will</w:t>
      </w:r>
      <w:r w:rsidR="004330F7">
        <w:rPr>
          <w:rFonts w:cs="Arial"/>
          <w:bCs/>
          <w:sz w:val="22"/>
          <w:szCs w:val="22"/>
        </w:rPr>
        <w:t xml:space="preserve"> command premium prices.</w:t>
      </w:r>
      <w:r w:rsidR="00352EF6" w:rsidRPr="0014483F">
        <w:rPr>
          <w:rFonts w:cs="Arial"/>
          <w:bCs/>
          <w:sz w:val="22"/>
          <w:szCs w:val="22"/>
        </w:rPr>
        <w:t xml:space="preserve">”  </w:t>
      </w:r>
    </w:p>
    <w:p w:rsidR="00EA0ED8" w:rsidRPr="00FB68EB" w:rsidRDefault="00EA0ED8" w:rsidP="00352EF6">
      <w:pPr>
        <w:spacing w:line="360" w:lineRule="auto"/>
        <w:rPr>
          <w:rFonts w:cs="Arial"/>
          <w:bCs/>
          <w:sz w:val="22"/>
          <w:szCs w:val="22"/>
        </w:rPr>
      </w:pPr>
    </w:p>
    <w:p w:rsidR="00EB392A" w:rsidRDefault="000F6285" w:rsidP="000534D5">
      <w:pPr>
        <w:spacing w:line="360" w:lineRule="auto"/>
        <w:rPr>
          <w:rFonts w:cs="Arial"/>
          <w:bCs/>
          <w:sz w:val="22"/>
          <w:szCs w:val="22"/>
        </w:rPr>
      </w:pPr>
      <w:r w:rsidRPr="000534D5">
        <w:rPr>
          <w:rFonts w:cs="Arial"/>
          <w:bCs/>
          <w:sz w:val="22"/>
          <w:szCs w:val="22"/>
        </w:rPr>
        <w:t>Dmitry Khalilov, Partner, Tax, Life Sciences Leader, Russia &amp; the CIS, says: “Biotechnology has been a historically strong field where Russian researchers have been able to compete with international companies. The policy of import substitution and public funding establishes a good foundation for its further development in Russia.”</w:t>
      </w:r>
    </w:p>
    <w:p w:rsidR="000534D5" w:rsidRPr="000534D5" w:rsidRDefault="000534D5" w:rsidP="000534D5">
      <w:pPr>
        <w:spacing w:line="360" w:lineRule="auto"/>
        <w:rPr>
          <w:rFonts w:cs="Arial"/>
          <w:b/>
          <w:sz w:val="18"/>
          <w:szCs w:val="18"/>
        </w:rPr>
      </w:pPr>
    </w:p>
    <w:p w:rsidR="00C273DA" w:rsidRPr="000534D5" w:rsidRDefault="00C273DA" w:rsidP="007A6D19">
      <w:pPr>
        <w:pStyle w:val="ListParagraph"/>
        <w:spacing w:line="360" w:lineRule="auto"/>
        <w:ind w:left="360"/>
        <w:rPr>
          <w:rFonts w:cs="Arial"/>
          <w:b/>
          <w:sz w:val="22"/>
          <w:szCs w:val="22"/>
        </w:rPr>
      </w:pPr>
      <w:r w:rsidRPr="000534D5">
        <w:rPr>
          <w:rFonts w:cs="Arial"/>
          <w:b/>
          <w:sz w:val="22"/>
          <w:szCs w:val="22"/>
        </w:rPr>
        <w:t>Key regional findings:</w:t>
      </w:r>
    </w:p>
    <w:p w:rsidR="00770EC6" w:rsidRPr="000534D5" w:rsidRDefault="00770EC6">
      <w:pPr>
        <w:pStyle w:val="ListParagraph"/>
        <w:spacing w:line="360" w:lineRule="auto"/>
        <w:ind w:left="360"/>
        <w:rPr>
          <w:rFonts w:cs="Arial"/>
          <w:b/>
          <w:sz w:val="22"/>
          <w:szCs w:val="22"/>
        </w:rPr>
      </w:pPr>
    </w:p>
    <w:p w:rsidR="00C273DA" w:rsidRPr="000534D5" w:rsidRDefault="00C273DA" w:rsidP="00C273DA">
      <w:pPr>
        <w:spacing w:line="360" w:lineRule="auto"/>
        <w:ind w:firstLine="360"/>
        <w:rPr>
          <w:rFonts w:cs="Arial"/>
          <w:b/>
          <w:sz w:val="22"/>
          <w:szCs w:val="22"/>
        </w:rPr>
      </w:pPr>
      <w:r w:rsidRPr="000534D5">
        <w:rPr>
          <w:rFonts w:cs="Arial"/>
          <w:b/>
          <w:sz w:val="22"/>
          <w:szCs w:val="22"/>
        </w:rPr>
        <w:t>United States</w:t>
      </w:r>
    </w:p>
    <w:p w:rsidR="00C273DA" w:rsidRPr="000534D5" w:rsidRDefault="00FF3CFD" w:rsidP="00C273DA">
      <w:pPr>
        <w:numPr>
          <w:ilvl w:val="0"/>
          <w:numId w:val="2"/>
        </w:numPr>
        <w:spacing w:line="360" w:lineRule="auto"/>
        <w:rPr>
          <w:rFonts w:cs="Arial"/>
          <w:sz w:val="22"/>
          <w:szCs w:val="22"/>
        </w:rPr>
      </w:pPr>
      <w:r w:rsidRPr="000534D5">
        <w:rPr>
          <w:rFonts w:cs="Arial"/>
          <w:sz w:val="22"/>
          <w:szCs w:val="22"/>
        </w:rPr>
        <w:t xml:space="preserve">Revenues of publicly traded </w:t>
      </w:r>
      <w:proofErr w:type="spellStart"/>
      <w:r w:rsidRPr="000534D5">
        <w:rPr>
          <w:rFonts w:cs="Arial"/>
          <w:sz w:val="22"/>
          <w:szCs w:val="22"/>
        </w:rPr>
        <w:t>biotechs</w:t>
      </w:r>
      <w:proofErr w:type="spellEnd"/>
      <w:r w:rsidRPr="000534D5">
        <w:rPr>
          <w:rFonts w:cs="Arial"/>
          <w:sz w:val="22"/>
          <w:szCs w:val="22"/>
        </w:rPr>
        <w:t xml:space="preserve"> were US$93.1b in 2014</w:t>
      </w:r>
      <w:r w:rsidR="001C76E9" w:rsidRPr="000534D5">
        <w:rPr>
          <w:rFonts w:cs="Arial"/>
          <w:sz w:val="22"/>
          <w:szCs w:val="22"/>
        </w:rPr>
        <w:t xml:space="preserve">, </w:t>
      </w:r>
      <w:r w:rsidRPr="000534D5">
        <w:rPr>
          <w:rFonts w:cs="Arial"/>
          <w:sz w:val="22"/>
          <w:szCs w:val="22"/>
        </w:rPr>
        <w:t>a 29% increase from the prior year</w:t>
      </w:r>
      <w:r w:rsidR="00C273DA" w:rsidRPr="000534D5">
        <w:rPr>
          <w:rFonts w:cs="Arial"/>
          <w:sz w:val="22"/>
          <w:szCs w:val="22"/>
        </w:rPr>
        <w:t>.</w:t>
      </w:r>
    </w:p>
    <w:p w:rsidR="00C273DA" w:rsidRPr="000534D5" w:rsidRDefault="00C273DA" w:rsidP="00C273DA">
      <w:pPr>
        <w:numPr>
          <w:ilvl w:val="0"/>
          <w:numId w:val="2"/>
        </w:numPr>
        <w:spacing w:line="360" w:lineRule="auto"/>
        <w:rPr>
          <w:rFonts w:cs="Arial"/>
          <w:sz w:val="22"/>
          <w:szCs w:val="22"/>
        </w:rPr>
      </w:pPr>
      <w:r w:rsidRPr="000534D5">
        <w:rPr>
          <w:rFonts w:cs="Arial"/>
          <w:sz w:val="22"/>
          <w:szCs w:val="22"/>
        </w:rPr>
        <w:t xml:space="preserve">R&amp;D spending increased </w:t>
      </w:r>
      <w:r w:rsidR="00FF3CFD" w:rsidRPr="000534D5">
        <w:rPr>
          <w:rFonts w:cs="Arial"/>
          <w:sz w:val="22"/>
          <w:szCs w:val="22"/>
        </w:rPr>
        <w:t>by 22% in 2014 to US$28.8</w:t>
      </w:r>
      <w:r w:rsidRPr="000534D5">
        <w:rPr>
          <w:rFonts w:cs="Arial"/>
          <w:sz w:val="22"/>
          <w:szCs w:val="22"/>
        </w:rPr>
        <w:t xml:space="preserve">b. </w:t>
      </w:r>
    </w:p>
    <w:p w:rsidR="00C273DA" w:rsidRPr="000534D5" w:rsidRDefault="00C273DA" w:rsidP="00C273DA">
      <w:pPr>
        <w:numPr>
          <w:ilvl w:val="0"/>
          <w:numId w:val="2"/>
        </w:numPr>
        <w:spacing w:line="360" w:lineRule="auto"/>
        <w:rPr>
          <w:rFonts w:cs="Arial"/>
          <w:sz w:val="22"/>
          <w:szCs w:val="22"/>
        </w:rPr>
      </w:pPr>
      <w:r w:rsidRPr="000534D5">
        <w:rPr>
          <w:rFonts w:cs="Arial"/>
          <w:sz w:val="22"/>
          <w:szCs w:val="22"/>
        </w:rPr>
        <w:t xml:space="preserve">Net income </w:t>
      </w:r>
      <w:r w:rsidR="00FF3CFD" w:rsidRPr="000534D5">
        <w:rPr>
          <w:rFonts w:cs="Arial"/>
          <w:sz w:val="22"/>
          <w:szCs w:val="22"/>
        </w:rPr>
        <w:t xml:space="preserve">increased by </w:t>
      </w:r>
      <w:r w:rsidR="005F4DBD" w:rsidRPr="000534D5">
        <w:rPr>
          <w:rFonts w:cs="Arial"/>
          <w:sz w:val="22"/>
          <w:szCs w:val="22"/>
        </w:rPr>
        <w:t>293</w:t>
      </w:r>
      <w:r w:rsidR="00FF3CFD" w:rsidRPr="000534D5">
        <w:rPr>
          <w:rFonts w:cs="Arial"/>
          <w:sz w:val="22"/>
          <w:szCs w:val="22"/>
        </w:rPr>
        <w:t>%</w:t>
      </w:r>
      <w:r w:rsidRPr="000534D5">
        <w:rPr>
          <w:rFonts w:cs="Arial"/>
          <w:sz w:val="22"/>
          <w:szCs w:val="22"/>
        </w:rPr>
        <w:t xml:space="preserve"> </w:t>
      </w:r>
      <w:r w:rsidR="00FF3CFD" w:rsidRPr="000534D5">
        <w:rPr>
          <w:rFonts w:cs="Arial"/>
          <w:sz w:val="22"/>
          <w:szCs w:val="22"/>
        </w:rPr>
        <w:t>in 2014 to US$10</w:t>
      </w:r>
      <w:r w:rsidRPr="000534D5">
        <w:rPr>
          <w:rFonts w:cs="Arial"/>
          <w:sz w:val="22"/>
          <w:szCs w:val="22"/>
        </w:rPr>
        <w:t>.6b.</w:t>
      </w:r>
    </w:p>
    <w:p w:rsidR="00C273DA" w:rsidRPr="000534D5" w:rsidRDefault="00C273DA" w:rsidP="00C273DA">
      <w:pPr>
        <w:numPr>
          <w:ilvl w:val="0"/>
          <w:numId w:val="2"/>
        </w:numPr>
        <w:spacing w:line="360" w:lineRule="auto"/>
        <w:rPr>
          <w:rFonts w:cs="Arial"/>
          <w:sz w:val="22"/>
          <w:szCs w:val="22"/>
        </w:rPr>
      </w:pPr>
      <w:r w:rsidRPr="000534D5">
        <w:rPr>
          <w:rFonts w:cs="Arial"/>
          <w:sz w:val="22"/>
          <w:szCs w:val="22"/>
        </w:rPr>
        <w:t>Ma</w:t>
      </w:r>
      <w:r w:rsidR="00FF3CFD" w:rsidRPr="000534D5">
        <w:rPr>
          <w:rFonts w:cs="Arial"/>
          <w:sz w:val="22"/>
          <w:szCs w:val="22"/>
        </w:rPr>
        <w:t xml:space="preserve">rket capitalization increased </w:t>
      </w:r>
      <w:r w:rsidR="00D425D2" w:rsidRPr="000534D5">
        <w:rPr>
          <w:rFonts w:cs="Arial"/>
          <w:sz w:val="22"/>
          <w:szCs w:val="22"/>
        </w:rPr>
        <w:t xml:space="preserve">a healthy </w:t>
      </w:r>
      <w:r w:rsidR="00FF3CFD" w:rsidRPr="000534D5">
        <w:rPr>
          <w:rFonts w:cs="Arial"/>
          <w:sz w:val="22"/>
          <w:szCs w:val="22"/>
        </w:rPr>
        <w:t>34% in 2014</w:t>
      </w:r>
      <w:r w:rsidR="00D425D2" w:rsidRPr="000534D5">
        <w:rPr>
          <w:rFonts w:cs="Arial"/>
          <w:sz w:val="22"/>
          <w:szCs w:val="22"/>
        </w:rPr>
        <w:t>, with 58% of companies seeing a year-over-year increase in valuation</w:t>
      </w:r>
      <w:r w:rsidR="001C76E9" w:rsidRPr="000534D5">
        <w:rPr>
          <w:rFonts w:cs="Arial"/>
          <w:sz w:val="22"/>
          <w:szCs w:val="22"/>
        </w:rPr>
        <w:t>.</w:t>
      </w:r>
    </w:p>
    <w:p w:rsidR="00C273DA" w:rsidRPr="000534D5" w:rsidRDefault="00C273DA" w:rsidP="00C273DA">
      <w:pPr>
        <w:numPr>
          <w:ilvl w:val="0"/>
          <w:numId w:val="2"/>
        </w:numPr>
        <w:spacing w:line="360" w:lineRule="auto"/>
        <w:rPr>
          <w:sz w:val="22"/>
          <w:szCs w:val="22"/>
        </w:rPr>
      </w:pPr>
      <w:r w:rsidRPr="000534D5">
        <w:rPr>
          <w:rFonts w:cs="Arial"/>
          <w:sz w:val="22"/>
          <w:szCs w:val="22"/>
        </w:rPr>
        <w:t>Total US funding reached</w:t>
      </w:r>
      <w:r w:rsidR="00765D58" w:rsidRPr="000534D5">
        <w:rPr>
          <w:rFonts w:cs="Arial"/>
          <w:sz w:val="22"/>
          <w:szCs w:val="22"/>
        </w:rPr>
        <w:t xml:space="preserve"> an all</w:t>
      </w:r>
      <w:r w:rsidR="00D22155" w:rsidRPr="000534D5">
        <w:rPr>
          <w:rFonts w:cs="Arial"/>
          <w:sz w:val="22"/>
          <w:szCs w:val="22"/>
        </w:rPr>
        <w:t>-</w:t>
      </w:r>
      <w:r w:rsidR="00765D58" w:rsidRPr="000534D5">
        <w:rPr>
          <w:rFonts w:cs="Arial"/>
          <w:sz w:val="22"/>
          <w:szCs w:val="22"/>
        </w:rPr>
        <w:t xml:space="preserve">time record of </w:t>
      </w:r>
      <w:r w:rsidR="008A5A0A" w:rsidRPr="000534D5">
        <w:rPr>
          <w:rFonts w:cs="Arial"/>
          <w:sz w:val="22"/>
          <w:szCs w:val="22"/>
        </w:rPr>
        <w:t>US$45.1</w:t>
      </w:r>
      <w:r w:rsidRPr="000534D5">
        <w:rPr>
          <w:rFonts w:cs="Arial"/>
          <w:sz w:val="22"/>
          <w:szCs w:val="22"/>
        </w:rPr>
        <w:t>b</w:t>
      </w:r>
      <w:r w:rsidR="008A5A0A" w:rsidRPr="000534D5">
        <w:rPr>
          <w:rFonts w:cs="Arial"/>
          <w:sz w:val="22"/>
          <w:szCs w:val="22"/>
        </w:rPr>
        <w:t xml:space="preserve"> in 2014</w:t>
      </w:r>
      <w:r w:rsidR="00765D58" w:rsidRPr="000534D5">
        <w:rPr>
          <w:rFonts w:cs="Arial"/>
          <w:sz w:val="22"/>
          <w:szCs w:val="22"/>
        </w:rPr>
        <w:t>. Records were also set for the amount of funds raised through IPOs (US$4.9b)</w:t>
      </w:r>
      <w:r w:rsidR="00D22155" w:rsidRPr="000534D5">
        <w:rPr>
          <w:rFonts w:cs="Arial"/>
          <w:sz w:val="22"/>
          <w:szCs w:val="22"/>
        </w:rPr>
        <w:t xml:space="preserve"> </w:t>
      </w:r>
      <w:r w:rsidR="00765D58" w:rsidRPr="000534D5">
        <w:rPr>
          <w:rFonts w:cs="Arial"/>
          <w:sz w:val="22"/>
          <w:szCs w:val="22"/>
        </w:rPr>
        <w:t xml:space="preserve">and debt financing </w:t>
      </w:r>
      <w:r w:rsidR="00765D58" w:rsidRPr="000534D5">
        <w:rPr>
          <w:rFonts w:cs="Arial"/>
          <w:sz w:val="22"/>
          <w:szCs w:val="22"/>
        </w:rPr>
        <w:lastRenderedPageBreak/>
        <w:t>(US$23.3b</w:t>
      </w:r>
      <w:r w:rsidR="00E976A0" w:rsidRPr="000534D5">
        <w:rPr>
          <w:rFonts w:cs="Arial"/>
          <w:sz w:val="22"/>
          <w:szCs w:val="22"/>
        </w:rPr>
        <w:t>)</w:t>
      </w:r>
      <w:r w:rsidR="000B337A" w:rsidRPr="000534D5">
        <w:rPr>
          <w:rFonts w:cs="Arial"/>
          <w:sz w:val="22"/>
          <w:szCs w:val="22"/>
        </w:rPr>
        <w:t>. Innovation capital, a key metric of amounts raised by earlier stage companies</w:t>
      </w:r>
      <w:r w:rsidR="004338AD" w:rsidRPr="000534D5">
        <w:rPr>
          <w:rFonts w:cs="Arial"/>
          <w:sz w:val="22"/>
          <w:szCs w:val="22"/>
        </w:rPr>
        <w:t>,</w:t>
      </w:r>
      <w:r w:rsidR="000B337A" w:rsidRPr="000534D5">
        <w:rPr>
          <w:rFonts w:cs="Arial"/>
          <w:sz w:val="22"/>
          <w:szCs w:val="22"/>
        </w:rPr>
        <w:t xml:space="preserve"> also set a record of $21.1</w:t>
      </w:r>
      <w:r w:rsidR="00E976A0" w:rsidRPr="000534D5">
        <w:rPr>
          <w:rFonts w:cs="Arial"/>
          <w:sz w:val="22"/>
          <w:szCs w:val="22"/>
        </w:rPr>
        <w:t>b</w:t>
      </w:r>
      <w:r w:rsidR="000B337A" w:rsidRPr="000534D5">
        <w:rPr>
          <w:rFonts w:cs="Arial"/>
          <w:sz w:val="22"/>
          <w:szCs w:val="22"/>
        </w:rPr>
        <w:t>.</w:t>
      </w:r>
      <w:r w:rsidRPr="000534D5">
        <w:rPr>
          <w:rFonts w:cs="Arial"/>
          <w:sz w:val="22"/>
          <w:szCs w:val="22"/>
        </w:rPr>
        <w:t xml:space="preserve"> </w:t>
      </w:r>
      <w:r w:rsidR="008A5A0A" w:rsidRPr="000534D5">
        <w:rPr>
          <w:rFonts w:cs="Arial"/>
          <w:sz w:val="22"/>
          <w:szCs w:val="22"/>
        </w:rPr>
        <w:t xml:space="preserve"> </w:t>
      </w:r>
      <w:r w:rsidRPr="000534D5">
        <w:rPr>
          <w:rFonts w:cs="Arial"/>
          <w:sz w:val="22"/>
          <w:szCs w:val="22"/>
        </w:rPr>
        <w:t xml:space="preserve"> </w:t>
      </w:r>
    </w:p>
    <w:p w:rsidR="00765D58" w:rsidRPr="000534D5" w:rsidRDefault="00765D58" w:rsidP="00C273DA">
      <w:pPr>
        <w:numPr>
          <w:ilvl w:val="0"/>
          <w:numId w:val="2"/>
        </w:numPr>
        <w:spacing w:line="360" w:lineRule="auto"/>
        <w:rPr>
          <w:sz w:val="22"/>
          <w:szCs w:val="22"/>
        </w:rPr>
      </w:pPr>
      <w:r w:rsidRPr="000534D5">
        <w:rPr>
          <w:rFonts w:cs="Arial"/>
          <w:sz w:val="22"/>
          <w:szCs w:val="22"/>
        </w:rPr>
        <w:t>Venture financing totaled US$5.6b</w:t>
      </w:r>
      <w:r w:rsidR="00603C99" w:rsidRPr="000534D5">
        <w:rPr>
          <w:rFonts w:cs="Arial"/>
          <w:sz w:val="22"/>
          <w:szCs w:val="22"/>
        </w:rPr>
        <w:t>, a 27% jump from</w:t>
      </w:r>
      <w:r w:rsidRPr="000534D5">
        <w:rPr>
          <w:rFonts w:cs="Arial"/>
          <w:sz w:val="22"/>
          <w:szCs w:val="22"/>
        </w:rPr>
        <w:t xml:space="preserve"> the previous 10-year average of $US4.4b</w:t>
      </w:r>
      <w:r w:rsidR="00E976A0" w:rsidRPr="000534D5">
        <w:rPr>
          <w:rFonts w:cs="Arial"/>
          <w:sz w:val="22"/>
          <w:szCs w:val="22"/>
        </w:rPr>
        <w:t>.</w:t>
      </w:r>
    </w:p>
    <w:p w:rsidR="00C273DA" w:rsidRPr="000534D5" w:rsidRDefault="00C273DA" w:rsidP="00603C99">
      <w:pPr>
        <w:numPr>
          <w:ilvl w:val="0"/>
          <w:numId w:val="2"/>
        </w:numPr>
        <w:spacing w:line="360" w:lineRule="auto"/>
        <w:rPr>
          <w:sz w:val="22"/>
          <w:szCs w:val="22"/>
        </w:rPr>
      </w:pPr>
      <w:r w:rsidRPr="000534D5">
        <w:rPr>
          <w:rFonts w:cs="Arial"/>
          <w:sz w:val="22"/>
          <w:szCs w:val="22"/>
        </w:rPr>
        <w:t xml:space="preserve">Total M&amp;A value rose </w:t>
      </w:r>
      <w:r w:rsidR="00DF6D07" w:rsidRPr="000534D5">
        <w:rPr>
          <w:rFonts w:cs="Arial"/>
          <w:sz w:val="22"/>
          <w:szCs w:val="22"/>
        </w:rPr>
        <w:t>50</w:t>
      </w:r>
      <w:r w:rsidR="00603C99" w:rsidRPr="000534D5">
        <w:rPr>
          <w:rFonts w:cs="Arial"/>
          <w:sz w:val="22"/>
          <w:szCs w:val="22"/>
        </w:rPr>
        <w:t>% over 2013</w:t>
      </w:r>
      <w:r w:rsidRPr="000534D5">
        <w:rPr>
          <w:rFonts w:cs="Arial"/>
          <w:sz w:val="22"/>
          <w:szCs w:val="22"/>
        </w:rPr>
        <w:t>, to US$</w:t>
      </w:r>
      <w:r w:rsidR="00603C99" w:rsidRPr="000534D5">
        <w:rPr>
          <w:rFonts w:cs="Arial"/>
          <w:sz w:val="22"/>
          <w:szCs w:val="22"/>
        </w:rPr>
        <w:t>42.9</w:t>
      </w:r>
      <w:r w:rsidRPr="000534D5">
        <w:rPr>
          <w:rFonts w:cs="Arial"/>
          <w:sz w:val="22"/>
          <w:szCs w:val="22"/>
        </w:rPr>
        <w:t xml:space="preserve">b, </w:t>
      </w:r>
      <w:r w:rsidR="00603C99" w:rsidRPr="000534D5">
        <w:rPr>
          <w:rFonts w:cs="Arial"/>
          <w:sz w:val="22"/>
          <w:szCs w:val="22"/>
        </w:rPr>
        <w:t xml:space="preserve">the third highest annual deal total since 2007. The number of deals jumped from </w:t>
      </w:r>
      <w:r w:rsidR="00DF6D07" w:rsidRPr="000534D5">
        <w:rPr>
          <w:rFonts w:cs="Arial"/>
          <w:sz w:val="22"/>
          <w:szCs w:val="22"/>
        </w:rPr>
        <w:t xml:space="preserve">42 </w:t>
      </w:r>
      <w:r w:rsidR="00603C99" w:rsidRPr="000534D5">
        <w:rPr>
          <w:rFonts w:cs="Arial"/>
          <w:sz w:val="22"/>
          <w:szCs w:val="22"/>
        </w:rPr>
        <w:t>to 51, the highest total in eight years</w:t>
      </w:r>
      <w:r w:rsidRPr="000534D5">
        <w:rPr>
          <w:rFonts w:cs="Arial"/>
          <w:sz w:val="22"/>
          <w:szCs w:val="22"/>
        </w:rPr>
        <w:t>.</w:t>
      </w:r>
    </w:p>
    <w:p w:rsidR="00C273DA" w:rsidRDefault="00C273DA" w:rsidP="00C273DA">
      <w:pPr>
        <w:spacing w:line="360" w:lineRule="auto"/>
        <w:ind w:left="720"/>
        <w:rPr>
          <w:sz w:val="22"/>
          <w:szCs w:val="22"/>
        </w:rPr>
      </w:pPr>
    </w:p>
    <w:p w:rsidR="000534D5" w:rsidRPr="000534D5" w:rsidRDefault="000534D5" w:rsidP="00C273DA">
      <w:pPr>
        <w:spacing w:line="360" w:lineRule="auto"/>
        <w:ind w:left="720"/>
        <w:rPr>
          <w:sz w:val="22"/>
          <w:szCs w:val="22"/>
        </w:rPr>
      </w:pPr>
    </w:p>
    <w:p w:rsidR="00C273DA" w:rsidRPr="000534D5" w:rsidRDefault="00C273DA" w:rsidP="00C273DA">
      <w:pPr>
        <w:autoSpaceDE w:val="0"/>
        <w:autoSpaceDN w:val="0"/>
        <w:adjustRightInd w:val="0"/>
        <w:spacing w:line="360" w:lineRule="auto"/>
        <w:ind w:firstLine="360"/>
        <w:rPr>
          <w:rFonts w:cs="Arial"/>
          <w:b/>
          <w:sz w:val="22"/>
          <w:szCs w:val="22"/>
        </w:rPr>
      </w:pPr>
      <w:r w:rsidRPr="000534D5">
        <w:rPr>
          <w:rFonts w:cs="Arial"/>
          <w:b/>
          <w:sz w:val="22"/>
          <w:szCs w:val="22"/>
        </w:rPr>
        <w:t xml:space="preserve">Europe </w:t>
      </w:r>
    </w:p>
    <w:p w:rsidR="00C273DA" w:rsidRPr="000534D5" w:rsidRDefault="00C273DA" w:rsidP="00C273DA">
      <w:pPr>
        <w:numPr>
          <w:ilvl w:val="0"/>
          <w:numId w:val="1"/>
        </w:numPr>
        <w:autoSpaceDE w:val="0"/>
        <w:autoSpaceDN w:val="0"/>
        <w:adjustRightInd w:val="0"/>
        <w:spacing w:line="360" w:lineRule="auto"/>
        <w:rPr>
          <w:rFonts w:cs="Arial"/>
          <w:sz w:val="22"/>
          <w:szCs w:val="22"/>
        </w:rPr>
      </w:pPr>
      <w:r w:rsidRPr="000534D5">
        <w:rPr>
          <w:rFonts w:cs="Arial"/>
          <w:sz w:val="22"/>
          <w:szCs w:val="22"/>
        </w:rPr>
        <w:t>Revenues of Europe</w:t>
      </w:r>
      <w:r w:rsidR="00FF3CFD" w:rsidRPr="000534D5">
        <w:rPr>
          <w:rFonts w:cs="Arial"/>
          <w:sz w:val="22"/>
          <w:szCs w:val="22"/>
        </w:rPr>
        <w:t xml:space="preserve">an public </w:t>
      </w:r>
      <w:proofErr w:type="spellStart"/>
      <w:r w:rsidR="00FF3CFD" w:rsidRPr="000534D5">
        <w:rPr>
          <w:rFonts w:cs="Arial"/>
          <w:sz w:val="22"/>
          <w:szCs w:val="22"/>
        </w:rPr>
        <w:t>biotechs</w:t>
      </w:r>
      <w:proofErr w:type="spellEnd"/>
      <w:r w:rsidR="00FF3CFD" w:rsidRPr="000534D5">
        <w:rPr>
          <w:rFonts w:cs="Arial"/>
          <w:sz w:val="22"/>
          <w:szCs w:val="22"/>
        </w:rPr>
        <w:t xml:space="preserve"> grew by 15% in 2014, to US$23.9</w:t>
      </w:r>
      <w:r w:rsidRPr="000534D5">
        <w:rPr>
          <w:rFonts w:cs="Arial"/>
          <w:sz w:val="22"/>
          <w:szCs w:val="22"/>
        </w:rPr>
        <w:t>b.</w:t>
      </w:r>
    </w:p>
    <w:p w:rsidR="00C273DA" w:rsidRPr="000534D5" w:rsidRDefault="00C273DA" w:rsidP="00C273DA">
      <w:pPr>
        <w:numPr>
          <w:ilvl w:val="0"/>
          <w:numId w:val="1"/>
        </w:numPr>
        <w:autoSpaceDE w:val="0"/>
        <w:autoSpaceDN w:val="0"/>
        <w:adjustRightInd w:val="0"/>
        <w:spacing w:line="360" w:lineRule="auto"/>
        <w:rPr>
          <w:rFonts w:cs="Arial"/>
          <w:sz w:val="22"/>
          <w:szCs w:val="22"/>
        </w:rPr>
      </w:pPr>
      <w:r w:rsidRPr="000534D5">
        <w:rPr>
          <w:rFonts w:cs="Arial"/>
          <w:sz w:val="22"/>
          <w:szCs w:val="22"/>
        </w:rPr>
        <w:t xml:space="preserve">R&amp;D </w:t>
      </w:r>
      <w:r w:rsidR="00FF3CFD" w:rsidRPr="000534D5">
        <w:rPr>
          <w:rFonts w:cs="Arial"/>
          <w:sz w:val="22"/>
          <w:szCs w:val="22"/>
        </w:rPr>
        <w:t>expense increased by</w:t>
      </w:r>
      <w:r w:rsidRPr="000534D5">
        <w:rPr>
          <w:rFonts w:cs="Arial"/>
          <w:sz w:val="22"/>
          <w:szCs w:val="22"/>
        </w:rPr>
        <w:t xml:space="preserve"> </w:t>
      </w:r>
      <w:r w:rsidR="00FF3CFD" w:rsidRPr="000534D5">
        <w:rPr>
          <w:rFonts w:cs="Arial"/>
          <w:sz w:val="22"/>
          <w:szCs w:val="22"/>
        </w:rPr>
        <w:t>14% in 2014, to US$5.6</w:t>
      </w:r>
      <w:r w:rsidRPr="000534D5">
        <w:rPr>
          <w:rFonts w:cs="Arial"/>
          <w:sz w:val="22"/>
          <w:szCs w:val="22"/>
        </w:rPr>
        <w:t xml:space="preserve">b. </w:t>
      </w:r>
    </w:p>
    <w:p w:rsidR="00C273DA" w:rsidRPr="000534D5" w:rsidRDefault="00C273DA" w:rsidP="00C273DA">
      <w:pPr>
        <w:numPr>
          <w:ilvl w:val="0"/>
          <w:numId w:val="1"/>
        </w:numPr>
        <w:autoSpaceDE w:val="0"/>
        <w:autoSpaceDN w:val="0"/>
        <w:adjustRightInd w:val="0"/>
        <w:spacing w:line="360" w:lineRule="auto"/>
        <w:rPr>
          <w:rFonts w:cs="Arial"/>
          <w:sz w:val="22"/>
          <w:szCs w:val="22"/>
        </w:rPr>
      </w:pPr>
      <w:r w:rsidRPr="000534D5">
        <w:rPr>
          <w:rFonts w:cs="Arial"/>
          <w:sz w:val="22"/>
          <w:szCs w:val="22"/>
        </w:rPr>
        <w:t xml:space="preserve">Net income </w:t>
      </w:r>
      <w:r w:rsidR="00FF3CFD" w:rsidRPr="000534D5">
        <w:rPr>
          <w:rFonts w:cs="Arial"/>
          <w:sz w:val="22"/>
          <w:szCs w:val="22"/>
        </w:rPr>
        <w:t xml:space="preserve">of public companies jumped 199% </w:t>
      </w:r>
      <w:r w:rsidRPr="000534D5">
        <w:rPr>
          <w:rFonts w:cs="Arial"/>
          <w:sz w:val="22"/>
          <w:szCs w:val="22"/>
        </w:rPr>
        <w:t>to US$</w:t>
      </w:r>
      <w:r w:rsidR="00FF3CFD" w:rsidRPr="000534D5">
        <w:rPr>
          <w:rFonts w:cs="Arial"/>
          <w:sz w:val="22"/>
          <w:szCs w:val="22"/>
        </w:rPr>
        <w:t>3.2</w:t>
      </w:r>
      <w:r w:rsidRPr="000534D5">
        <w:rPr>
          <w:rFonts w:cs="Arial"/>
          <w:sz w:val="22"/>
          <w:szCs w:val="22"/>
        </w:rPr>
        <w:t>b</w:t>
      </w:r>
      <w:r w:rsidR="003D231B" w:rsidRPr="000534D5">
        <w:rPr>
          <w:rFonts w:cs="Arial"/>
          <w:sz w:val="22"/>
          <w:szCs w:val="22"/>
        </w:rPr>
        <w:t>.</w:t>
      </w:r>
    </w:p>
    <w:p w:rsidR="00C273DA" w:rsidRPr="000534D5" w:rsidRDefault="00C273DA" w:rsidP="00C273DA">
      <w:pPr>
        <w:numPr>
          <w:ilvl w:val="0"/>
          <w:numId w:val="1"/>
        </w:numPr>
        <w:autoSpaceDE w:val="0"/>
        <w:autoSpaceDN w:val="0"/>
        <w:adjustRightInd w:val="0"/>
        <w:spacing w:line="360" w:lineRule="auto"/>
        <w:rPr>
          <w:rFonts w:cs="Arial"/>
          <w:sz w:val="22"/>
          <w:szCs w:val="22"/>
        </w:rPr>
      </w:pPr>
      <w:r w:rsidRPr="000534D5">
        <w:rPr>
          <w:sz w:val="22"/>
          <w:szCs w:val="22"/>
        </w:rPr>
        <w:t>Ma</w:t>
      </w:r>
      <w:r w:rsidR="00FF3CFD" w:rsidRPr="000534D5">
        <w:rPr>
          <w:sz w:val="22"/>
          <w:szCs w:val="22"/>
        </w:rPr>
        <w:t>rket capitalization increased 41</w:t>
      </w:r>
      <w:r w:rsidR="00D425D2" w:rsidRPr="000534D5">
        <w:rPr>
          <w:sz w:val="22"/>
          <w:szCs w:val="22"/>
        </w:rPr>
        <w:t xml:space="preserve">%, with 59% of companies achieving an increase in their market cap.  </w:t>
      </w:r>
      <w:r w:rsidRPr="000534D5">
        <w:rPr>
          <w:sz w:val="22"/>
          <w:szCs w:val="22"/>
        </w:rPr>
        <w:t xml:space="preserve">  </w:t>
      </w:r>
    </w:p>
    <w:p w:rsidR="00743409" w:rsidRPr="000534D5" w:rsidRDefault="00743409" w:rsidP="00743409">
      <w:pPr>
        <w:numPr>
          <w:ilvl w:val="0"/>
          <w:numId w:val="1"/>
        </w:numPr>
        <w:autoSpaceDE w:val="0"/>
        <w:autoSpaceDN w:val="0"/>
        <w:adjustRightInd w:val="0"/>
        <w:spacing w:line="360" w:lineRule="auto"/>
        <w:rPr>
          <w:rFonts w:cs="Arial"/>
          <w:sz w:val="22"/>
          <w:szCs w:val="22"/>
        </w:rPr>
      </w:pPr>
      <w:r w:rsidRPr="000534D5">
        <w:rPr>
          <w:sz w:val="22"/>
          <w:szCs w:val="22"/>
        </w:rPr>
        <w:t>Total European funding reached US$9.</w:t>
      </w:r>
      <w:r w:rsidR="005F4DBD" w:rsidRPr="000534D5">
        <w:rPr>
          <w:sz w:val="22"/>
          <w:szCs w:val="22"/>
        </w:rPr>
        <w:t>2b</w:t>
      </w:r>
      <w:r w:rsidRPr="000534D5">
        <w:rPr>
          <w:sz w:val="22"/>
          <w:szCs w:val="22"/>
        </w:rPr>
        <w:t xml:space="preserve">, a </w:t>
      </w:r>
      <w:r w:rsidR="005F4DBD" w:rsidRPr="000534D5">
        <w:rPr>
          <w:sz w:val="22"/>
          <w:szCs w:val="22"/>
        </w:rPr>
        <w:t>53</w:t>
      </w:r>
      <w:r w:rsidRPr="000534D5">
        <w:rPr>
          <w:sz w:val="22"/>
          <w:szCs w:val="22"/>
        </w:rPr>
        <w:t xml:space="preserve">% increase over 2013 and </w:t>
      </w:r>
      <w:r w:rsidR="005F4DBD" w:rsidRPr="000534D5">
        <w:rPr>
          <w:sz w:val="22"/>
          <w:szCs w:val="22"/>
        </w:rPr>
        <w:t>97</w:t>
      </w:r>
      <w:r w:rsidRPr="000534D5">
        <w:rPr>
          <w:sz w:val="22"/>
          <w:szCs w:val="22"/>
        </w:rPr>
        <w:t>% more than the previous 10-year average</w:t>
      </w:r>
      <w:r w:rsidRPr="000534D5">
        <w:rPr>
          <w:rFonts w:cs="Arial"/>
          <w:sz w:val="22"/>
          <w:szCs w:val="22"/>
        </w:rPr>
        <w:t xml:space="preserve">. </w:t>
      </w:r>
      <w:r w:rsidRPr="000534D5">
        <w:rPr>
          <w:sz w:val="22"/>
          <w:szCs w:val="22"/>
        </w:rPr>
        <w:t xml:space="preserve">IPOs raised US$1.9b, more than the previous seven years combined. </w:t>
      </w:r>
    </w:p>
    <w:p w:rsidR="00C273DA" w:rsidRPr="000534D5" w:rsidDel="001871C3" w:rsidRDefault="00743409" w:rsidP="00603C99">
      <w:pPr>
        <w:numPr>
          <w:ilvl w:val="0"/>
          <w:numId w:val="1"/>
        </w:numPr>
        <w:autoSpaceDE w:val="0"/>
        <w:autoSpaceDN w:val="0"/>
        <w:adjustRightInd w:val="0"/>
        <w:spacing w:line="360" w:lineRule="auto"/>
        <w:rPr>
          <w:rFonts w:cs="Arial"/>
          <w:sz w:val="22"/>
          <w:szCs w:val="22"/>
        </w:rPr>
      </w:pPr>
      <w:r w:rsidRPr="000534D5">
        <w:rPr>
          <w:sz w:val="22"/>
          <w:szCs w:val="22"/>
        </w:rPr>
        <w:t>Venture financing totaled US$2b, US$30m shy of the record achieved in 2006.</w:t>
      </w:r>
      <w:r w:rsidR="00C273DA" w:rsidRPr="000534D5" w:rsidDel="001871C3">
        <w:rPr>
          <w:rFonts w:cs="Arial"/>
          <w:sz w:val="22"/>
          <w:szCs w:val="22"/>
        </w:rPr>
        <w:t xml:space="preserve">      </w:t>
      </w:r>
    </w:p>
    <w:p w:rsidR="00C273DA" w:rsidRPr="000534D5" w:rsidRDefault="00C273DA" w:rsidP="00C273DA">
      <w:pPr>
        <w:numPr>
          <w:ilvl w:val="0"/>
          <w:numId w:val="1"/>
        </w:numPr>
        <w:autoSpaceDE w:val="0"/>
        <w:autoSpaceDN w:val="0"/>
        <w:adjustRightInd w:val="0"/>
        <w:spacing w:line="360" w:lineRule="auto"/>
        <w:rPr>
          <w:rFonts w:cs="Arial"/>
          <w:sz w:val="22"/>
          <w:szCs w:val="22"/>
        </w:rPr>
      </w:pPr>
      <w:r w:rsidRPr="000534D5">
        <w:rPr>
          <w:rFonts w:cs="Arial"/>
          <w:sz w:val="22"/>
          <w:szCs w:val="22"/>
        </w:rPr>
        <w:t>Europe en</w:t>
      </w:r>
      <w:r w:rsidR="00603C99" w:rsidRPr="000534D5">
        <w:rPr>
          <w:rFonts w:cs="Arial"/>
          <w:sz w:val="22"/>
          <w:szCs w:val="22"/>
        </w:rPr>
        <w:t>joyed a second strong year for M&amp;A</w:t>
      </w:r>
      <w:r w:rsidRPr="000534D5">
        <w:rPr>
          <w:rFonts w:cs="Arial"/>
          <w:sz w:val="22"/>
          <w:szCs w:val="22"/>
        </w:rPr>
        <w:t xml:space="preserve">. The total value of the </w:t>
      </w:r>
      <w:r w:rsidR="00603C99" w:rsidRPr="000534D5">
        <w:rPr>
          <w:rFonts w:cs="Arial"/>
          <w:sz w:val="22"/>
          <w:szCs w:val="22"/>
        </w:rPr>
        <w:t>27 European M&amp;A deals in 2014</w:t>
      </w:r>
      <w:r w:rsidRPr="000534D5">
        <w:rPr>
          <w:rFonts w:cs="Arial"/>
          <w:sz w:val="22"/>
          <w:szCs w:val="22"/>
        </w:rPr>
        <w:t xml:space="preserve"> </w:t>
      </w:r>
      <w:r w:rsidR="00603C99" w:rsidRPr="000534D5">
        <w:rPr>
          <w:rFonts w:cs="Arial"/>
          <w:sz w:val="22"/>
          <w:szCs w:val="22"/>
        </w:rPr>
        <w:t>was US$6</w:t>
      </w:r>
      <w:r w:rsidRPr="000534D5">
        <w:rPr>
          <w:rFonts w:cs="Arial"/>
          <w:sz w:val="22"/>
          <w:szCs w:val="22"/>
        </w:rPr>
        <w:t>.</w:t>
      </w:r>
      <w:r w:rsidR="00603C99" w:rsidRPr="000534D5">
        <w:rPr>
          <w:rFonts w:cs="Arial"/>
          <w:sz w:val="22"/>
          <w:szCs w:val="22"/>
        </w:rPr>
        <w:t>9b. Excluding megadeals, this was the second highest total since 2007.</w:t>
      </w:r>
    </w:p>
    <w:p w:rsidR="00603C99" w:rsidRPr="000534D5" w:rsidRDefault="00603C99" w:rsidP="00C273DA">
      <w:pPr>
        <w:rPr>
          <w:rFonts w:cs="Arial"/>
          <w:b/>
          <w:color w:val="000000" w:themeColor="text1"/>
          <w:sz w:val="22"/>
          <w:szCs w:val="22"/>
        </w:rPr>
      </w:pPr>
    </w:p>
    <w:p w:rsidR="00603C99" w:rsidRPr="000534D5" w:rsidRDefault="00603C99" w:rsidP="00C273DA">
      <w:pPr>
        <w:rPr>
          <w:rFonts w:cs="Arial"/>
          <w:b/>
          <w:color w:val="000000" w:themeColor="text1"/>
          <w:sz w:val="22"/>
          <w:szCs w:val="22"/>
        </w:rPr>
      </w:pPr>
    </w:p>
    <w:p w:rsidR="006D1895" w:rsidRPr="000534D5" w:rsidRDefault="006D1895" w:rsidP="006D1895">
      <w:pPr>
        <w:rPr>
          <w:rFonts w:cs="Arial"/>
          <w:b/>
          <w:sz w:val="22"/>
          <w:szCs w:val="22"/>
        </w:rPr>
      </w:pPr>
      <w:r w:rsidRPr="000534D5">
        <w:rPr>
          <w:rFonts w:cs="Arial"/>
          <w:b/>
          <w:sz w:val="22"/>
          <w:szCs w:val="22"/>
        </w:rPr>
        <w:t>About EY</w:t>
      </w:r>
    </w:p>
    <w:p w:rsidR="006D1895" w:rsidRPr="000534D5" w:rsidRDefault="006D1895" w:rsidP="006D1895">
      <w:pPr>
        <w:rPr>
          <w:rFonts w:cs="Arial"/>
          <w:iCs/>
          <w:sz w:val="22"/>
          <w:szCs w:val="22"/>
        </w:rPr>
      </w:pPr>
    </w:p>
    <w:p w:rsidR="00D52572" w:rsidRPr="000534D5" w:rsidRDefault="00D52572" w:rsidP="000534D5">
      <w:pPr>
        <w:pStyle w:val="EYBodytextwithparaspace"/>
        <w:spacing w:after="240"/>
        <w:rPr>
          <w:rFonts w:cs="Arial"/>
          <w:iCs/>
          <w:kern w:val="0"/>
          <w:szCs w:val="22"/>
        </w:rPr>
      </w:pPr>
      <w:r w:rsidRPr="000534D5">
        <w:rPr>
          <w:rFonts w:cs="Arial"/>
          <w:iCs/>
          <w:kern w:val="0"/>
          <w:szCs w:val="22"/>
        </w:rPr>
        <w:t>EY is a global leader in assurance, tax, transaction and advisory services. The insights and quality services we deliver help build trust and confidence in the capital markets and in economies the world over. We develop outstanding leaders who team to deliver on our promises to all of our stakeholders. In so doing, we play a critical role in building a better working world for our people, for our clients and for our communities.</w:t>
      </w:r>
    </w:p>
    <w:p w:rsidR="00D52572" w:rsidRPr="000534D5" w:rsidRDefault="00D52572" w:rsidP="000534D5">
      <w:pPr>
        <w:pStyle w:val="EYBodytextwithparaspace"/>
        <w:spacing w:after="240"/>
        <w:rPr>
          <w:rFonts w:cs="Arial"/>
          <w:iCs/>
          <w:kern w:val="0"/>
          <w:szCs w:val="22"/>
        </w:rPr>
      </w:pPr>
      <w:r w:rsidRPr="000534D5">
        <w:rPr>
          <w:rFonts w:cs="Arial"/>
          <w:iCs/>
          <w:kern w:val="0"/>
          <w:szCs w:val="22"/>
        </w:rPr>
        <w:t xml:space="preserve">EY works together with companies across the CIS and assists them in realizing their business goals. 4,800 professionals work at 21 CIS offices (in Moscow, St. Petersburg, Novosibirsk, Ekaterinburg, Kazan, Krasnodar, Rostov-on-Don, Togliatti, Vladivostok, </w:t>
      </w:r>
      <w:proofErr w:type="spellStart"/>
      <w:r w:rsidRPr="000534D5">
        <w:rPr>
          <w:rFonts w:cs="Arial"/>
          <w:iCs/>
          <w:kern w:val="0"/>
          <w:szCs w:val="22"/>
        </w:rPr>
        <w:t>Yuzhno-Sakhalinsk</w:t>
      </w:r>
      <w:proofErr w:type="spellEnd"/>
      <w:r w:rsidRPr="000534D5">
        <w:rPr>
          <w:rFonts w:cs="Arial"/>
          <w:iCs/>
          <w:kern w:val="0"/>
          <w:szCs w:val="22"/>
        </w:rPr>
        <w:t xml:space="preserve">, Almaty, Astana, </w:t>
      </w:r>
      <w:proofErr w:type="spellStart"/>
      <w:r w:rsidRPr="000534D5">
        <w:rPr>
          <w:rFonts w:cs="Arial"/>
          <w:iCs/>
          <w:kern w:val="0"/>
          <w:szCs w:val="22"/>
        </w:rPr>
        <w:t>Atyrau</w:t>
      </w:r>
      <w:proofErr w:type="spellEnd"/>
      <w:r w:rsidRPr="000534D5">
        <w:rPr>
          <w:rFonts w:cs="Arial"/>
          <w:iCs/>
          <w:kern w:val="0"/>
          <w:szCs w:val="22"/>
        </w:rPr>
        <w:t xml:space="preserve">, Bishkek, Baku, Kyiv, Donetsk, Tashkent, Tbilisi, Yerevan and Minsk). </w:t>
      </w:r>
    </w:p>
    <w:p w:rsidR="000534D5" w:rsidRPr="000534D5" w:rsidRDefault="00D52572" w:rsidP="000534D5">
      <w:pPr>
        <w:pStyle w:val="EYBodytextwithparaspace"/>
        <w:spacing w:after="240"/>
        <w:rPr>
          <w:rFonts w:cs="Arial"/>
          <w:iCs/>
          <w:kern w:val="0"/>
          <w:szCs w:val="22"/>
        </w:rPr>
      </w:pPr>
      <w:r w:rsidRPr="000534D5">
        <w:rPr>
          <w:rFonts w:cs="Arial"/>
          <w:iCs/>
          <w:kern w:val="0"/>
          <w:szCs w:val="22"/>
        </w:rPr>
        <w:lastRenderedPageBreak/>
        <w:t xml:space="preserve">EY refers to the global organization, and may refer to one or more of the member firms of Ernst &amp; Young Global Limited, each of which is a separate legal entity. Ernst &amp; Young Global Limited, a UK company limited by guarantee, does not provide services to clients. For more information about our organization, please visit </w:t>
      </w:r>
      <w:proofErr w:type="spellStart"/>
      <w:r w:rsidRPr="000534D5">
        <w:rPr>
          <w:rFonts w:cs="Arial"/>
          <w:iCs/>
          <w:kern w:val="0"/>
          <w:szCs w:val="22"/>
        </w:rPr>
        <w:t>ey.com.</w:t>
      </w:r>
      <w:r w:rsidR="006D1895" w:rsidRPr="000534D5">
        <w:rPr>
          <w:rFonts w:cs="Arial"/>
          <w:iCs/>
          <w:kern w:val="0"/>
          <w:szCs w:val="22"/>
        </w:rPr>
        <w:t>This</w:t>
      </w:r>
      <w:proofErr w:type="spellEnd"/>
      <w:r w:rsidR="006D1895" w:rsidRPr="000534D5">
        <w:rPr>
          <w:rFonts w:cs="Arial"/>
          <w:iCs/>
          <w:kern w:val="0"/>
          <w:szCs w:val="22"/>
        </w:rPr>
        <w:t xml:space="preserve"> news release has been issued by EYGM Limited, a member of the global EY organization that also does not provide any services to clients.</w:t>
      </w:r>
    </w:p>
    <w:p w:rsidR="006D1895" w:rsidRPr="000534D5" w:rsidRDefault="00D028C1" w:rsidP="000534D5">
      <w:pPr>
        <w:pStyle w:val="EYBodytextwithparaspace"/>
        <w:spacing w:after="240"/>
        <w:rPr>
          <w:rFonts w:cs="Arial"/>
          <w:b/>
          <w:szCs w:val="22"/>
        </w:rPr>
      </w:pPr>
      <w:r w:rsidRPr="000534D5">
        <w:rPr>
          <w:rFonts w:cs="Arial"/>
          <w:b/>
          <w:szCs w:val="22"/>
        </w:rPr>
        <w:t xml:space="preserve">Background on report findings </w:t>
      </w:r>
    </w:p>
    <w:p w:rsidR="00770EC6" w:rsidRPr="000534D5" w:rsidRDefault="00D028C1" w:rsidP="000534D5">
      <w:pPr>
        <w:pStyle w:val="EYBodytextwithparaspace"/>
        <w:spacing w:after="240"/>
        <w:rPr>
          <w:rFonts w:cs="Arial"/>
          <w:szCs w:val="22"/>
        </w:rPr>
      </w:pPr>
      <w:r w:rsidRPr="000534D5">
        <w:rPr>
          <w:rFonts w:cs="Arial"/>
          <w:szCs w:val="22"/>
        </w:rPr>
        <w:t>The key findings of this report are based on an EY analysis of companies whose main business purpose is the commercialization of modern biotechnology</w:t>
      </w:r>
      <w:r w:rsidR="001B5803" w:rsidRPr="000534D5">
        <w:rPr>
          <w:rFonts w:cs="Arial"/>
          <w:szCs w:val="22"/>
        </w:rPr>
        <w:t xml:space="preserve"> as applied to health</w:t>
      </w:r>
      <w:r w:rsidR="003D231B" w:rsidRPr="000534D5">
        <w:rPr>
          <w:rFonts w:cs="Arial"/>
          <w:szCs w:val="22"/>
        </w:rPr>
        <w:t xml:space="preserve"> </w:t>
      </w:r>
      <w:r w:rsidR="001B5803" w:rsidRPr="000534D5">
        <w:rPr>
          <w:rFonts w:cs="Arial"/>
          <w:szCs w:val="22"/>
        </w:rPr>
        <w:t>care</w:t>
      </w:r>
      <w:r w:rsidRPr="000534D5">
        <w:rPr>
          <w:rFonts w:cs="Arial"/>
          <w:szCs w:val="22"/>
        </w:rPr>
        <w:t xml:space="preserve"> and we focus on biotech companies in the “established” biotech centers (North America, Europe and Australia). Modern biotechnology uses genetic technologies and other molecular biology methods for the production of innovative drug</w:t>
      </w:r>
      <w:r w:rsidR="001B5803" w:rsidRPr="000534D5">
        <w:rPr>
          <w:rFonts w:cs="Arial"/>
          <w:szCs w:val="22"/>
        </w:rPr>
        <w:t>s and</w:t>
      </w:r>
      <w:r w:rsidRPr="000534D5">
        <w:rPr>
          <w:rFonts w:cs="Arial"/>
          <w:szCs w:val="22"/>
        </w:rPr>
        <w:t xml:space="preserve"> diagnostics</w:t>
      </w:r>
      <w:r w:rsidR="001B5803" w:rsidRPr="000534D5">
        <w:rPr>
          <w:rFonts w:cs="Arial"/>
          <w:szCs w:val="22"/>
        </w:rPr>
        <w:t>.</w:t>
      </w:r>
      <w:r w:rsidRPr="000534D5">
        <w:rPr>
          <w:rFonts w:cs="Arial"/>
          <w:szCs w:val="22"/>
        </w:rPr>
        <w:t xml:space="preserve"> Our primary research is based on publicly available information (company reports, websites</w:t>
      </w:r>
      <w:r w:rsidR="003D231B" w:rsidRPr="000534D5">
        <w:rPr>
          <w:rFonts w:cs="Arial"/>
          <w:szCs w:val="22"/>
        </w:rPr>
        <w:t>,</w:t>
      </w:r>
      <w:r w:rsidRPr="000534D5">
        <w:rPr>
          <w:rFonts w:cs="Arial"/>
          <w:szCs w:val="22"/>
        </w:rPr>
        <w:t xml:space="preserve"> etc.) and is supplemented as needed with data published by third-party databases</w:t>
      </w:r>
      <w:r w:rsidR="004338AD" w:rsidRPr="000534D5">
        <w:rPr>
          <w:rFonts w:cs="Arial"/>
          <w:szCs w:val="22"/>
        </w:rPr>
        <w:t xml:space="preserve">, </w:t>
      </w:r>
      <w:r w:rsidRPr="000534D5">
        <w:rPr>
          <w:rFonts w:cs="Arial"/>
          <w:szCs w:val="22"/>
        </w:rPr>
        <w:t>as well as regional information resources. Specific sources can be found in the report in the source notes for each chart.</w:t>
      </w:r>
    </w:p>
    <w:p w:rsidR="006D1895" w:rsidRPr="000534D5" w:rsidRDefault="006D1895" w:rsidP="000534D5">
      <w:pPr>
        <w:pStyle w:val="EYBodytextwithparaspace"/>
        <w:spacing w:after="240"/>
        <w:rPr>
          <w:rFonts w:cs="Arial"/>
          <w:b/>
          <w:szCs w:val="22"/>
        </w:rPr>
      </w:pPr>
      <w:r w:rsidRPr="000534D5">
        <w:rPr>
          <w:rFonts w:cs="Arial"/>
          <w:b/>
          <w:szCs w:val="22"/>
        </w:rPr>
        <w:t>How EY’s Global Life Sciences Sector can help your business</w:t>
      </w:r>
    </w:p>
    <w:p w:rsidR="006D1895" w:rsidRPr="000534D5" w:rsidRDefault="006D1895" w:rsidP="000534D5">
      <w:pPr>
        <w:pStyle w:val="EYBodytextwithparaspace"/>
        <w:spacing w:after="240"/>
        <w:rPr>
          <w:rFonts w:cs="Arial"/>
          <w:szCs w:val="22"/>
        </w:rPr>
      </w:pPr>
      <w:r w:rsidRPr="000534D5">
        <w:rPr>
          <w:rFonts w:cs="Arial"/>
          <w:szCs w:val="22"/>
        </w:rPr>
        <w:t xml:space="preserve">Life sciences companies — from emerging startups to multinational enterprises — face new challenges in a rapidly changing health care ecosystem. Payers and regulators are increasing scrutiny and accelerating the transition to value and outcomes. </w:t>
      </w:r>
      <w:proofErr w:type="gramStart"/>
      <w:r w:rsidRPr="000534D5">
        <w:rPr>
          <w:rFonts w:cs="Arial"/>
          <w:szCs w:val="22"/>
        </w:rPr>
        <w:t>Big data and patient-empowering technologies are driving new approaches and enabling transparency and consumerism.</w:t>
      </w:r>
      <w:proofErr w:type="gramEnd"/>
      <w:r w:rsidRPr="000534D5">
        <w:rPr>
          <w:rFonts w:cs="Arial"/>
          <w:szCs w:val="22"/>
        </w:rPr>
        <w:t xml:space="preserve"> Players from other sectors are entering health care, making collaborations increasingly complex.</w:t>
      </w:r>
    </w:p>
    <w:p w:rsidR="006D1895" w:rsidRPr="000534D5" w:rsidRDefault="006D1895" w:rsidP="000534D5">
      <w:pPr>
        <w:pStyle w:val="EYBodytextwithparaspace"/>
        <w:spacing w:after="240"/>
        <w:rPr>
          <w:rFonts w:cs="Arial"/>
          <w:szCs w:val="22"/>
        </w:rPr>
      </w:pPr>
      <w:r w:rsidRPr="000534D5">
        <w:rPr>
          <w:rFonts w:cs="Arial"/>
          <w:szCs w:val="22"/>
        </w:rPr>
        <w:t xml:space="preserve">These trends challenge every aspect of the life sciences business model, from R&amp;D to marketing. Our Global Life Sciences Center brings together a worldwide network — more than 7,000 sector-focused assurance, tax, transaction and advisory professionals — to anticipate trends, identify implications and develop points of view on responding to critical issues. We can help you navigate your way forward and achieve success in the new ecosystem. </w:t>
      </w:r>
    </w:p>
    <w:p w:rsidR="00C273DA" w:rsidRPr="000534D5" w:rsidRDefault="00A556CD" w:rsidP="000534D5">
      <w:pPr>
        <w:pStyle w:val="EYBodytextwithparaspace"/>
        <w:spacing w:after="240"/>
        <w:rPr>
          <w:rFonts w:cs="Arial"/>
          <w:b/>
          <w:i/>
          <w:szCs w:val="22"/>
        </w:rPr>
      </w:pPr>
      <w:hyperlink r:id="rId9" w:history="1">
        <w:r w:rsidR="006D1895" w:rsidRPr="000534D5">
          <w:rPr>
            <w:rStyle w:val="Hyperlink"/>
            <w:rFonts w:cs="Arial"/>
            <w:szCs w:val="22"/>
          </w:rPr>
          <w:t>http://www.ey.com/GL/en/Industries/Life-Sciences</w:t>
        </w:r>
      </w:hyperlink>
    </w:p>
    <w:sectPr w:rsidR="00C273DA" w:rsidRPr="000534D5" w:rsidSect="00453732">
      <w:headerReference w:type="default" r:id="rId10"/>
      <w:footerReference w:type="default" r:id="rId11"/>
      <w:headerReference w:type="first" r:id="rId12"/>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3CA" w:rsidRDefault="003663CA" w:rsidP="00C273DA">
      <w:r>
        <w:separator/>
      </w:r>
    </w:p>
  </w:endnote>
  <w:endnote w:type="continuationSeparator" w:id="0">
    <w:p w:rsidR="003663CA" w:rsidRDefault="003663CA" w:rsidP="00C2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EYInterstate">
    <w:panose1 w:val="02000503020000020004"/>
    <w:charset w:val="CC"/>
    <w:family w:val="auto"/>
    <w:pitch w:val="variable"/>
    <w:sig w:usb0="A00002AF" w:usb1="5000206A"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5F" w:rsidRDefault="00891F5F">
    <w:pPr>
      <w:pStyle w:val="Footer"/>
    </w:pPr>
    <w:r>
      <w:rPr>
        <w:noProof/>
      </w:rPr>
      <mc:AlternateContent>
        <mc:Choice Requires="wps">
          <w:drawing>
            <wp:anchor distT="0" distB="0" distL="114300" distR="114300" simplePos="0" relativeHeight="251661312" behindDoc="1" locked="1" layoutInCell="1" allowOverlap="1" wp14:anchorId="33BA350F" wp14:editId="09924BAE">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F5F" w:rsidRPr="00195C92" w:rsidRDefault="00891F5F" w:rsidP="00453732">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0;margin-top:813.65pt;width:13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" filled="f" stroked="f">
              <v:textbox inset="0,0,0,0">
                <w:txbxContent>
                  <w:p w:rsidR="00891F5F" w:rsidRPr="00195C92" w:rsidRDefault="00891F5F" w:rsidP="00453732">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3CA" w:rsidRDefault="003663CA" w:rsidP="00C273DA">
      <w:r>
        <w:separator/>
      </w:r>
    </w:p>
  </w:footnote>
  <w:footnote w:type="continuationSeparator" w:id="0">
    <w:p w:rsidR="003663CA" w:rsidRDefault="003663CA" w:rsidP="00C27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5F" w:rsidRDefault="00891F5F" w:rsidP="00453732">
    <w:pPr>
      <w:pStyle w:val="Header"/>
    </w:pPr>
    <w:r>
      <w:rPr>
        <w:noProof/>
      </w:rPr>
      <mc:AlternateContent>
        <mc:Choice Requires="wps">
          <w:drawing>
            <wp:anchor distT="0" distB="0" distL="114300" distR="114300" simplePos="0" relativeHeight="251663360" behindDoc="0" locked="0" layoutInCell="1" allowOverlap="1" wp14:anchorId="2FC43C2C" wp14:editId="1645373C">
              <wp:simplePos x="0" y="0"/>
              <wp:positionH relativeFrom="page">
                <wp:posOffset>5403850</wp:posOffset>
              </wp:positionH>
              <wp:positionV relativeFrom="page">
                <wp:posOffset>403225</wp:posOffset>
              </wp:positionV>
              <wp:extent cx="1800225" cy="617855"/>
              <wp:effectExtent l="0" t="0" r="9525" b="107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F5F" w:rsidRDefault="00891F5F" w:rsidP="00453732">
                          <w:pPr>
                            <w:pStyle w:val="EYContinuationheader"/>
                            <w:jc w:val="right"/>
                            <w:rPr>
                              <w:noProof/>
                            </w:rPr>
                          </w:pPr>
                          <w:r>
                            <w:t xml:space="preserve">Page </w:t>
                          </w:r>
                          <w:r>
                            <w:fldChar w:fldCharType="begin"/>
                          </w:r>
                          <w:r>
                            <w:instrText xml:space="preserve"> PAGE  \* Arabic  \* MERGEFORMAT </w:instrText>
                          </w:r>
                          <w:r>
                            <w:fldChar w:fldCharType="separate"/>
                          </w:r>
                          <w:r w:rsidR="00A556CD">
                            <w:rPr>
                              <w:noProof/>
                            </w:rPr>
                            <w:t>5</w:t>
                          </w:r>
                          <w:r>
                            <w:rPr>
                              <w:noProof/>
                            </w:rPr>
                            <w:fldChar w:fldCharType="end"/>
                          </w:r>
                        </w:p>
                        <w:p w:rsidR="00D52572" w:rsidRDefault="00D52572" w:rsidP="00453732">
                          <w:pPr>
                            <w:pStyle w:val="EYContinuationheader"/>
                            <w:jc w:val="right"/>
                          </w:pPr>
                          <w:r>
                            <w:rPr>
                              <w:noProof/>
                            </w:rPr>
                            <w:t>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bTrg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" filled="f" stroked="f">
              <v:textbox inset="0,0,0,0">
                <w:txbxContent>
                  <w:p w:rsidR="00891F5F" w:rsidRDefault="00891F5F" w:rsidP="00453732">
                    <w:pPr>
                      <w:pStyle w:val="EYContinuationheader"/>
                      <w:jc w:val="right"/>
                      <w:rPr>
                        <w:noProof/>
                      </w:rPr>
                    </w:pPr>
                    <w:r>
                      <w:t xml:space="preserve">Page </w:t>
                    </w:r>
                    <w:r>
                      <w:fldChar w:fldCharType="begin"/>
                    </w:r>
                    <w:r>
                      <w:instrText xml:space="preserve"> PAGE  \* Arabic  \* MERGEFORMAT </w:instrText>
                    </w:r>
                    <w:r>
                      <w:fldChar w:fldCharType="separate"/>
                    </w:r>
                    <w:r w:rsidR="00A556CD">
                      <w:rPr>
                        <w:noProof/>
                      </w:rPr>
                      <w:t>5</w:t>
                    </w:r>
                    <w:r>
                      <w:rPr>
                        <w:noProof/>
                      </w:rPr>
                      <w:fldChar w:fldCharType="end"/>
                    </w:r>
                  </w:p>
                  <w:p w:rsidR="00D52572" w:rsidRDefault="00D52572" w:rsidP="00453732">
                    <w:pPr>
                      <w:pStyle w:val="EYContinuationheader"/>
                      <w:jc w:val="right"/>
                    </w:pPr>
                    <w:r>
                      <w:rPr>
                        <w:noProof/>
                      </w:rPr>
                      <w:t>EY</w:t>
                    </w:r>
                  </w:p>
                </w:txbxContent>
              </v:textbox>
              <w10:wrap type="square" anchorx="page" anchory="page"/>
            </v:shape>
          </w:pict>
        </mc:Fallback>
      </mc:AlternateContent>
    </w:r>
    <w:r w:rsidRPr="008C55C4">
      <w:rPr>
        <w:noProof/>
      </w:rPr>
      <w:drawing>
        <wp:anchor distT="0" distB="0" distL="114300" distR="114300" simplePos="0" relativeHeight="251662336" behindDoc="0" locked="1" layoutInCell="1" allowOverlap="1" wp14:anchorId="7864B034" wp14:editId="49C8B450">
          <wp:simplePos x="0" y="0"/>
          <wp:positionH relativeFrom="page">
            <wp:posOffset>845820</wp:posOffset>
          </wp:positionH>
          <wp:positionV relativeFrom="page">
            <wp:posOffset>168910</wp:posOffset>
          </wp:positionV>
          <wp:extent cx="889200" cy="10224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200" cy="1022400"/>
                  </a:xfrm>
                  <a:prstGeom prst="rect">
                    <a:avLst/>
                  </a:prstGeom>
                  <a:noFill/>
                  <a:ln>
                    <a:noFill/>
                  </a:ln>
                  <a:effectLs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5F" w:rsidRDefault="00891F5F">
    <w:pPr>
      <w:pStyle w:val="Header"/>
    </w:pPr>
    <w:r w:rsidRPr="008C55C4">
      <w:rPr>
        <w:noProof/>
      </w:rPr>
      <w:drawing>
        <wp:anchor distT="0" distB="0" distL="114300" distR="114300" simplePos="0" relativeHeight="251660288" behindDoc="0" locked="1" layoutInCell="1" allowOverlap="1" wp14:anchorId="4C6E13C6" wp14:editId="35F96A4C">
          <wp:simplePos x="0" y="0"/>
          <wp:positionH relativeFrom="page">
            <wp:posOffset>847725</wp:posOffset>
          </wp:positionH>
          <wp:positionV relativeFrom="page">
            <wp:posOffset>169545</wp:posOffset>
          </wp:positionV>
          <wp:extent cx="887730" cy="1021080"/>
          <wp:effectExtent l="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7730" cy="1021080"/>
                  </a:xfrm>
                  <a:prstGeom prst="rect">
                    <a:avLst/>
                  </a:prstGeom>
                  <a:noFill/>
                  <a:ln>
                    <a:noFill/>
                  </a:ln>
                  <a:effectLs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F41"/>
    <w:multiLevelType w:val="hybridMultilevel"/>
    <w:tmpl w:val="ABF09658"/>
    <w:lvl w:ilvl="0" w:tplc="A5120EE4">
      <w:start w:val="2"/>
      <w:numFmt w:val="bullet"/>
      <w:lvlText w:val=""/>
      <w:lvlJc w:val="left"/>
      <w:pPr>
        <w:ind w:left="1440" w:hanging="360"/>
      </w:pPr>
      <w:rPr>
        <w:rFonts w:ascii="Wingdings 3" w:eastAsia="Times New Roman" w:hAnsi="Wingdings 3" w:cs="Times New Roman" w:hint="default"/>
        <w:caps w:val="0"/>
        <w:strike w:val="0"/>
        <w:dstrike w:val="0"/>
        <w:vanish w:val="0"/>
        <w:color w:val="000000"/>
        <w:sz w:val="16"/>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A44172"/>
    <w:multiLevelType w:val="hybridMultilevel"/>
    <w:tmpl w:val="DE2CF03E"/>
    <w:lvl w:ilvl="0" w:tplc="C7AED2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E0432"/>
    <w:multiLevelType w:val="hybridMultilevel"/>
    <w:tmpl w:val="E91C9E60"/>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3F5FE4"/>
    <w:multiLevelType w:val="hybridMultilevel"/>
    <w:tmpl w:val="F9B66354"/>
    <w:lvl w:ilvl="0" w:tplc="A5120EE4">
      <w:start w:val="2"/>
      <w:numFmt w:val="bullet"/>
      <w:lvlText w:val=""/>
      <w:lvlJc w:val="left"/>
      <w:pPr>
        <w:tabs>
          <w:tab w:val="num" w:pos="720"/>
        </w:tabs>
        <w:ind w:left="720" w:hanging="360"/>
      </w:pPr>
      <w:rPr>
        <w:rFonts w:ascii="Wingdings 3" w:eastAsia="Times New Roman" w:hAnsi="Wingdings 3" w:cs="Times New Roman" w:hint="default"/>
        <w:caps w:val="0"/>
        <w:strike w:val="0"/>
        <w:dstrike w:val="0"/>
        <w:vanish w:val="0"/>
        <w:color w:val="000000"/>
        <w:sz w:val="16"/>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672DBC"/>
    <w:multiLevelType w:val="hybridMultilevel"/>
    <w:tmpl w:val="D368EFEE"/>
    <w:lvl w:ilvl="0" w:tplc="A5120EE4">
      <w:start w:val="2"/>
      <w:numFmt w:val="bullet"/>
      <w:lvlText w:val=""/>
      <w:lvlJc w:val="left"/>
      <w:pPr>
        <w:ind w:left="360" w:hanging="360"/>
      </w:pPr>
      <w:rPr>
        <w:rFonts w:ascii="Wingdings 3" w:eastAsia="Times New Roman" w:hAnsi="Wingdings 3" w:cs="Times New Roman" w:hint="default"/>
        <w:caps w:val="0"/>
        <w:strike w:val="0"/>
        <w:dstrike w:val="0"/>
        <w:vanish w:val="0"/>
        <w:color w:val="000000"/>
        <w:sz w:val="16"/>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9791945"/>
    <w:multiLevelType w:val="hybridMultilevel"/>
    <w:tmpl w:val="08B2120E"/>
    <w:lvl w:ilvl="0" w:tplc="1D76B0B0">
      <w:start w:val="1"/>
      <w:numFmt w:val="decimal"/>
      <w:lvlText w:val="%1."/>
      <w:lvlJc w:val="left"/>
      <w:pPr>
        <w:ind w:left="720" w:hanging="360"/>
      </w:pPr>
      <w:rPr>
        <w:rFonts w:hint="default"/>
        <w:b/>
        <w:caps w:val="0"/>
        <w:strike w:val="0"/>
        <w:dstrike w:val="0"/>
        <w:vanish w:val="0"/>
        <w:color w:val="000000"/>
        <w:sz w:val="16"/>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C6499"/>
    <w:multiLevelType w:val="hybridMultilevel"/>
    <w:tmpl w:val="03A653A4"/>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F252B7"/>
    <w:multiLevelType w:val="hybridMultilevel"/>
    <w:tmpl w:val="F6FE0B28"/>
    <w:lvl w:ilvl="0" w:tplc="A5120EE4">
      <w:start w:val="2"/>
      <w:numFmt w:val="bullet"/>
      <w:lvlText w:val=""/>
      <w:lvlJc w:val="left"/>
      <w:pPr>
        <w:tabs>
          <w:tab w:val="num" w:pos="720"/>
        </w:tabs>
        <w:ind w:left="720" w:hanging="360"/>
      </w:pPr>
      <w:rPr>
        <w:rFonts w:ascii="Wingdings 3" w:eastAsia="Times New Roman" w:hAnsi="Wingdings 3" w:cs="Times New Roman" w:hint="default"/>
        <w:caps w:val="0"/>
        <w:strike w:val="0"/>
        <w:dstrike w:val="0"/>
        <w:vanish w:val="0"/>
        <w:color w:val="000000"/>
        <w:sz w:val="16"/>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DA"/>
    <w:rsid w:val="00040B44"/>
    <w:rsid w:val="000534D5"/>
    <w:rsid w:val="00054F9E"/>
    <w:rsid w:val="00057A4C"/>
    <w:rsid w:val="000906A6"/>
    <w:rsid w:val="000B337A"/>
    <w:rsid w:val="000C1D05"/>
    <w:rsid w:val="000C6E7F"/>
    <w:rsid w:val="000F2883"/>
    <w:rsid w:val="000F619C"/>
    <w:rsid w:val="000F6285"/>
    <w:rsid w:val="001044E7"/>
    <w:rsid w:val="0014483F"/>
    <w:rsid w:val="001873D5"/>
    <w:rsid w:val="00192FDD"/>
    <w:rsid w:val="001B5803"/>
    <w:rsid w:val="001C475E"/>
    <w:rsid w:val="001C76E9"/>
    <w:rsid w:val="001F6A38"/>
    <w:rsid w:val="002149C1"/>
    <w:rsid w:val="00285E35"/>
    <w:rsid w:val="002F2437"/>
    <w:rsid w:val="00352EF6"/>
    <w:rsid w:val="003663CA"/>
    <w:rsid w:val="003D231B"/>
    <w:rsid w:val="003E7B5D"/>
    <w:rsid w:val="00400D26"/>
    <w:rsid w:val="00411A0A"/>
    <w:rsid w:val="00417378"/>
    <w:rsid w:val="004223EB"/>
    <w:rsid w:val="004330F7"/>
    <w:rsid w:val="004338AD"/>
    <w:rsid w:val="00453732"/>
    <w:rsid w:val="00466C54"/>
    <w:rsid w:val="0050394C"/>
    <w:rsid w:val="005457A2"/>
    <w:rsid w:val="005530E6"/>
    <w:rsid w:val="0058107E"/>
    <w:rsid w:val="005E5E50"/>
    <w:rsid w:val="005F23C5"/>
    <w:rsid w:val="005F4DBD"/>
    <w:rsid w:val="00603C99"/>
    <w:rsid w:val="006103DB"/>
    <w:rsid w:val="00613593"/>
    <w:rsid w:val="00630616"/>
    <w:rsid w:val="0063794A"/>
    <w:rsid w:val="00653499"/>
    <w:rsid w:val="006667E7"/>
    <w:rsid w:val="00672D1C"/>
    <w:rsid w:val="00684E26"/>
    <w:rsid w:val="00691D24"/>
    <w:rsid w:val="006D1895"/>
    <w:rsid w:val="006F24DF"/>
    <w:rsid w:val="007052BF"/>
    <w:rsid w:val="00731167"/>
    <w:rsid w:val="007432DC"/>
    <w:rsid w:val="00743409"/>
    <w:rsid w:val="00765D58"/>
    <w:rsid w:val="00770EC6"/>
    <w:rsid w:val="007A6D19"/>
    <w:rsid w:val="007B459F"/>
    <w:rsid w:val="00822C08"/>
    <w:rsid w:val="008668A5"/>
    <w:rsid w:val="0087762E"/>
    <w:rsid w:val="00891F5F"/>
    <w:rsid w:val="008A5A0A"/>
    <w:rsid w:val="008F4340"/>
    <w:rsid w:val="009211C5"/>
    <w:rsid w:val="009401DF"/>
    <w:rsid w:val="009B02B0"/>
    <w:rsid w:val="009C1728"/>
    <w:rsid w:val="009C657B"/>
    <w:rsid w:val="009F2381"/>
    <w:rsid w:val="00A148B1"/>
    <w:rsid w:val="00A36C41"/>
    <w:rsid w:val="00A41715"/>
    <w:rsid w:val="00A540F1"/>
    <w:rsid w:val="00A556CD"/>
    <w:rsid w:val="00A67888"/>
    <w:rsid w:val="00A8757C"/>
    <w:rsid w:val="00A9325F"/>
    <w:rsid w:val="00AA3802"/>
    <w:rsid w:val="00AF6C45"/>
    <w:rsid w:val="00C04BB5"/>
    <w:rsid w:val="00C11359"/>
    <w:rsid w:val="00C273DA"/>
    <w:rsid w:val="00C3169B"/>
    <w:rsid w:val="00C31E25"/>
    <w:rsid w:val="00C36397"/>
    <w:rsid w:val="00CA12CA"/>
    <w:rsid w:val="00CB2111"/>
    <w:rsid w:val="00CD2BD7"/>
    <w:rsid w:val="00CD4410"/>
    <w:rsid w:val="00CD44B9"/>
    <w:rsid w:val="00D028C1"/>
    <w:rsid w:val="00D15DFA"/>
    <w:rsid w:val="00D22155"/>
    <w:rsid w:val="00D425D2"/>
    <w:rsid w:val="00D47CFF"/>
    <w:rsid w:val="00D52572"/>
    <w:rsid w:val="00D80A9C"/>
    <w:rsid w:val="00D872FE"/>
    <w:rsid w:val="00D97109"/>
    <w:rsid w:val="00DB60EC"/>
    <w:rsid w:val="00DF6D07"/>
    <w:rsid w:val="00E51C83"/>
    <w:rsid w:val="00E61338"/>
    <w:rsid w:val="00E67296"/>
    <w:rsid w:val="00E70BAA"/>
    <w:rsid w:val="00E976A0"/>
    <w:rsid w:val="00EA0ED8"/>
    <w:rsid w:val="00EB392A"/>
    <w:rsid w:val="00F255D8"/>
    <w:rsid w:val="00F439F0"/>
    <w:rsid w:val="00F746F7"/>
    <w:rsid w:val="00FB5546"/>
    <w:rsid w:val="00FB68EB"/>
    <w:rsid w:val="00FF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D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73DA"/>
    <w:pPr>
      <w:tabs>
        <w:tab w:val="center" w:pos="4320"/>
        <w:tab w:val="right" w:pos="8640"/>
      </w:tabs>
    </w:pPr>
  </w:style>
  <w:style w:type="character" w:customStyle="1" w:styleId="HeaderChar">
    <w:name w:val="Header Char"/>
    <w:basedOn w:val="DefaultParagraphFont"/>
    <w:link w:val="Header"/>
    <w:rsid w:val="00C273DA"/>
    <w:rPr>
      <w:rFonts w:ascii="Arial" w:eastAsia="Times New Roman" w:hAnsi="Arial" w:cs="Times New Roman"/>
      <w:sz w:val="20"/>
      <w:szCs w:val="24"/>
    </w:rPr>
  </w:style>
  <w:style w:type="table" w:styleId="TableGrid">
    <w:name w:val="Table Grid"/>
    <w:basedOn w:val="TableNormal"/>
    <w:rsid w:val="00C273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Footerinfo">
    <w:name w:val="EY Footer info"/>
    <w:basedOn w:val="Normal"/>
    <w:rsid w:val="00C273DA"/>
    <w:pPr>
      <w:suppressAutoHyphens/>
    </w:pPr>
    <w:rPr>
      <w:color w:val="808080"/>
      <w:kern w:val="12"/>
      <w:sz w:val="11"/>
    </w:rPr>
  </w:style>
  <w:style w:type="paragraph" w:customStyle="1" w:styleId="EYDocumentpromptsbold">
    <w:name w:val="EY Document prompts (bold)"/>
    <w:basedOn w:val="Normal"/>
    <w:rsid w:val="00C273DA"/>
    <w:pPr>
      <w:suppressAutoHyphens/>
      <w:spacing w:line="260" w:lineRule="atLeast"/>
    </w:pPr>
    <w:rPr>
      <w:rFonts w:ascii="Arial Bold" w:hAnsi="Arial Bold"/>
      <w:b/>
      <w:kern w:val="12"/>
    </w:rPr>
  </w:style>
  <w:style w:type="paragraph" w:customStyle="1" w:styleId="EYContinuationheader">
    <w:name w:val="EY Continuation header"/>
    <w:basedOn w:val="Normal"/>
    <w:rsid w:val="00C273DA"/>
    <w:pPr>
      <w:tabs>
        <w:tab w:val="left" w:pos="2495"/>
      </w:tabs>
      <w:suppressAutoHyphens/>
      <w:spacing w:line="260" w:lineRule="atLeast"/>
    </w:pPr>
    <w:rPr>
      <w:kern w:val="12"/>
    </w:rPr>
  </w:style>
  <w:style w:type="paragraph" w:styleId="Footer">
    <w:name w:val="footer"/>
    <w:basedOn w:val="Normal"/>
    <w:link w:val="FooterChar"/>
    <w:rsid w:val="00C273DA"/>
    <w:pPr>
      <w:tabs>
        <w:tab w:val="center" w:pos="4320"/>
        <w:tab w:val="right" w:pos="8640"/>
      </w:tabs>
    </w:pPr>
  </w:style>
  <w:style w:type="character" w:customStyle="1" w:styleId="FooterChar">
    <w:name w:val="Footer Char"/>
    <w:basedOn w:val="DefaultParagraphFont"/>
    <w:link w:val="Footer"/>
    <w:rsid w:val="00C273DA"/>
    <w:rPr>
      <w:rFonts w:ascii="Arial" w:eastAsia="Times New Roman" w:hAnsi="Arial" w:cs="Times New Roman"/>
      <w:sz w:val="20"/>
      <w:szCs w:val="24"/>
    </w:rPr>
  </w:style>
  <w:style w:type="character" w:customStyle="1" w:styleId="EYBodytextwithparaspaceChar">
    <w:name w:val="EY Body text (with para space) Char"/>
    <w:basedOn w:val="DefaultParagraphFont"/>
    <w:link w:val="EYBodytextwithparaspace"/>
    <w:rsid w:val="00C273DA"/>
    <w:rPr>
      <w:rFonts w:ascii="Arial" w:hAnsi="Arial"/>
      <w:kern w:val="12"/>
      <w:szCs w:val="24"/>
    </w:rPr>
  </w:style>
  <w:style w:type="paragraph" w:customStyle="1" w:styleId="EYBodytextwithparaspace">
    <w:name w:val="EY Body text (with para space)"/>
    <w:basedOn w:val="Normal"/>
    <w:link w:val="EYBodytextwithparaspaceChar"/>
    <w:rsid w:val="00C273DA"/>
    <w:pPr>
      <w:tabs>
        <w:tab w:val="left" w:pos="907"/>
      </w:tabs>
      <w:suppressAutoHyphens/>
      <w:spacing w:after="400" w:line="360" w:lineRule="auto"/>
    </w:pPr>
    <w:rPr>
      <w:rFonts w:eastAsiaTheme="minorHAnsi" w:cstheme="minorBidi"/>
      <w:kern w:val="12"/>
      <w:sz w:val="22"/>
    </w:rPr>
  </w:style>
  <w:style w:type="character" w:styleId="Hyperlink">
    <w:name w:val="Hyperlink"/>
    <w:basedOn w:val="DefaultParagraphFont"/>
    <w:rsid w:val="00C273DA"/>
    <w:rPr>
      <w:color w:val="0000FF"/>
      <w:u w:val="single"/>
    </w:rPr>
  </w:style>
  <w:style w:type="paragraph" w:customStyle="1" w:styleId="eyboldsubjectheading">
    <w:name w:val="eyboldsubjectheading"/>
    <w:basedOn w:val="Normal"/>
    <w:uiPriority w:val="99"/>
    <w:rsid w:val="00C273DA"/>
    <w:pPr>
      <w:spacing w:before="480" w:line="260" w:lineRule="atLeast"/>
    </w:pPr>
    <w:rPr>
      <w:rFonts w:cs="Arial"/>
      <w:b/>
      <w:bCs/>
      <w:sz w:val="26"/>
      <w:szCs w:val="26"/>
    </w:rPr>
  </w:style>
  <w:style w:type="paragraph" w:styleId="ListParagraph">
    <w:name w:val="List Paragraph"/>
    <w:basedOn w:val="Normal"/>
    <w:uiPriority w:val="34"/>
    <w:qFormat/>
    <w:rsid w:val="00C273DA"/>
    <w:pPr>
      <w:ind w:left="720"/>
      <w:contextualSpacing/>
    </w:pPr>
  </w:style>
  <w:style w:type="paragraph" w:styleId="FootnoteText">
    <w:name w:val="footnote text"/>
    <w:basedOn w:val="Normal"/>
    <w:link w:val="FootnoteTextChar"/>
    <w:uiPriority w:val="99"/>
    <w:unhideWhenUsed/>
    <w:rsid w:val="00C273DA"/>
    <w:rPr>
      <w:szCs w:val="20"/>
    </w:rPr>
  </w:style>
  <w:style w:type="character" w:customStyle="1" w:styleId="FootnoteTextChar">
    <w:name w:val="Footnote Text Char"/>
    <w:basedOn w:val="DefaultParagraphFont"/>
    <w:link w:val="FootnoteText"/>
    <w:uiPriority w:val="99"/>
    <w:rsid w:val="00C273DA"/>
    <w:rPr>
      <w:rFonts w:ascii="Arial" w:eastAsia="Times New Roman" w:hAnsi="Arial" w:cs="Times New Roman"/>
      <w:sz w:val="20"/>
      <w:szCs w:val="20"/>
    </w:rPr>
  </w:style>
  <w:style w:type="character" w:styleId="FootnoteReference">
    <w:name w:val="footnote reference"/>
    <w:basedOn w:val="DefaultParagraphFont"/>
    <w:uiPriority w:val="99"/>
    <w:unhideWhenUsed/>
    <w:rsid w:val="00C273DA"/>
    <w:rPr>
      <w:vertAlign w:val="superscript"/>
    </w:rPr>
  </w:style>
  <w:style w:type="character" w:styleId="CommentReference">
    <w:name w:val="annotation reference"/>
    <w:basedOn w:val="DefaultParagraphFont"/>
    <w:uiPriority w:val="99"/>
    <w:semiHidden/>
    <w:unhideWhenUsed/>
    <w:rsid w:val="008A5A0A"/>
    <w:rPr>
      <w:sz w:val="16"/>
      <w:szCs w:val="16"/>
    </w:rPr>
  </w:style>
  <w:style w:type="paragraph" w:styleId="CommentText">
    <w:name w:val="annotation text"/>
    <w:basedOn w:val="Normal"/>
    <w:link w:val="CommentTextChar"/>
    <w:uiPriority w:val="99"/>
    <w:semiHidden/>
    <w:unhideWhenUsed/>
    <w:rsid w:val="008A5A0A"/>
    <w:rPr>
      <w:szCs w:val="20"/>
    </w:rPr>
  </w:style>
  <w:style w:type="character" w:customStyle="1" w:styleId="CommentTextChar">
    <w:name w:val="Comment Text Char"/>
    <w:basedOn w:val="DefaultParagraphFont"/>
    <w:link w:val="CommentText"/>
    <w:uiPriority w:val="99"/>
    <w:semiHidden/>
    <w:rsid w:val="008A5A0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A5A0A"/>
    <w:rPr>
      <w:b/>
      <w:bCs/>
    </w:rPr>
  </w:style>
  <w:style w:type="character" w:customStyle="1" w:styleId="CommentSubjectChar">
    <w:name w:val="Comment Subject Char"/>
    <w:basedOn w:val="CommentTextChar"/>
    <w:link w:val="CommentSubject"/>
    <w:uiPriority w:val="99"/>
    <w:semiHidden/>
    <w:rsid w:val="008A5A0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A5A0A"/>
    <w:rPr>
      <w:rFonts w:ascii="Tahoma" w:hAnsi="Tahoma" w:cs="Tahoma"/>
      <w:sz w:val="16"/>
      <w:szCs w:val="16"/>
    </w:rPr>
  </w:style>
  <w:style w:type="character" w:customStyle="1" w:styleId="BalloonTextChar">
    <w:name w:val="Balloon Text Char"/>
    <w:basedOn w:val="DefaultParagraphFont"/>
    <w:link w:val="BalloonText"/>
    <w:uiPriority w:val="99"/>
    <w:semiHidden/>
    <w:rsid w:val="008A5A0A"/>
    <w:rPr>
      <w:rFonts w:ascii="Tahoma" w:eastAsia="Times New Roman" w:hAnsi="Tahoma" w:cs="Tahoma"/>
      <w:sz w:val="16"/>
      <w:szCs w:val="16"/>
    </w:rPr>
  </w:style>
  <w:style w:type="paragraph" w:styleId="Revision">
    <w:name w:val="Revision"/>
    <w:hidden/>
    <w:uiPriority w:val="99"/>
    <w:semiHidden/>
    <w:rsid w:val="001C76E9"/>
    <w:pPr>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7052BF"/>
    <w:rPr>
      <w:color w:val="800080" w:themeColor="followedHyperlink"/>
      <w:u w:val="single"/>
    </w:rPr>
  </w:style>
  <w:style w:type="character" w:styleId="Emphasis">
    <w:name w:val="Emphasis"/>
    <w:basedOn w:val="DefaultParagraphFont"/>
    <w:uiPriority w:val="20"/>
    <w:qFormat/>
    <w:rsid w:val="00E976A0"/>
    <w:rPr>
      <w:b/>
      <w:bCs/>
      <w:i w:val="0"/>
      <w:iCs w:val="0"/>
    </w:rPr>
  </w:style>
  <w:style w:type="character" w:customStyle="1" w:styleId="st1">
    <w:name w:val="st1"/>
    <w:basedOn w:val="DefaultParagraphFont"/>
    <w:rsid w:val="00E976A0"/>
  </w:style>
  <w:style w:type="table" w:customStyle="1" w:styleId="TableGrid1">
    <w:name w:val="Table Grid1"/>
    <w:basedOn w:val="TableNormal"/>
    <w:next w:val="TableGrid"/>
    <w:rsid w:val="00E51C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D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73DA"/>
    <w:pPr>
      <w:tabs>
        <w:tab w:val="center" w:pos="4320"/>
        <w:tab w:val="right" w:pos="8640"/>
      </w:tabs>
    </w:pPr>
  </w:style>
  <w:style w:type="character" w:customStyle="1" w:styleId="HeaderChar">
    <w:name w:val="Header Char"/>
    <w:basedOn w:val="DefaultParagraphFont"/>
    <w:link w:val="Header"/>
    <w:rsid w:val="00C273DA"/>
    <w:rPr>
      <w:rFonts w:ascii="Arial" w:eastAsia="Times New Roman" w:hAnsi="Arial" w:cs="Times New Roman"/>
      <w:sz w:val="20"/>
      <w:szCs w:val="24"/>
    </w:rPr>
  </w:style>
  <w:style w:type="table" w:styleId="TableGrid">
    <w:name w:val="Table Grid"/>
    <w:basedOn w:val="TableNormal"/>
    <w:rsid w:val="00C273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Footerinfo">
    <w:name w:val="EY Footer info"/>
    <w:basedOn w:val="Normal"/>
    <w:rsid w:val="00C273DA"/>
    <w:pPr>
      <w:suppressAutoHyphens/>
    </w:pPr>
    <w:rPr>
      <w:color w:val="808080"/>
      <w:kern w:val="12"/>
      <w:sz w:val="11"/>
    </w:rPr>
  </w:style>
  <w:style w:type="paragraph" w:customStyle="1" w:styleId="EYDocumentpromptsbold">
    <w:name w:val="EY Document prompts (bold)"/>
    <w:basedOn w:val="Normal"/>
    <w:rsid w:val="00C273DA"/>
    <w:pPr>
      <w:suppressAutoHyphens/>
      <w:spacing w:line="260" w:lineRule="atLeast"/>
    </w:pPr>
    <w:rPr>
      <w:rFonts w:ascii="Arial Bold" w:hAnsi="Arial Bold"/>
      <w:b/>
      <w:kern w:val="12"/>
    </w:rPr>
  </w:style>
  <w:style w:type="paragraph" w:customStyle="1" w:styleId="EYContinuationheader">
    <w:name w:val="EY Continuation header"/>
    <w:basedOn w:val="Normal"/>
    <w:rsid w:val="00C273DA"/>
    <w:pPr>
      <w:tabs>
        <w:tab w:val="left" w:pos="2495"/>
      </w:tabs>
      <w:suppressAutoHyphens/>
      <w:spacing w:line="260" w:lineRule="atLeast"/>
    </w:pPr>
    <w:rPr>
      <w:kern w:val="12"/>
    </w:rPr>
  </w:style>
  <w:style w:type="paragraph" w:styleId="Footer">
    <w:name w:val="footer"/>
    <w:basedOn w:val="Normal"/>
    <w:link w:val="FooterChar"/>
    <w:rsid w:val="00C273DA"/>
    <w:pPr>
      <w:tabs>
        <w:tab w:val="center" w:pos="4320"/>
        <w:tab w:val="right" w:pos="8640"/>
      </w:tabs>
    </w:pPr>
  </w:style>
  <w:style w:type="character" w:customStyle="1" w:styleId="FooterChar">
    <w:name w:val="Footer Char"/>
    <w:basedOn w:val="DefaultParagraphFont"/>
    <w:link w:val="Footer"/>
    <w:rsid w:val="00C273DA"/>
    <w:rPr>
      <w:rFonts w:ascii="Arial" w:eastAsia="Times New Roman" w:hAnsi="Arial" w:cs="Times New Roman"/>
      <w:sz w:val="20"/>
      <w:szCs w:val="24"/>
    </w:rPr>
  </w:style>
  <w:style w:type="character" w:customStyle="1" w:styleId="EYBodytextwithparaspaceChar">
    <w:name w:val="EY Body text (with para space) Char"/>
    <w:basedOn w:val="DefaultParagraphFont"/>
    <w:link w:val="EYBodytextwithparaspace"/>
    <w:rsid w:val="00C273DA"/>
    <w:rPr>
      <w:rFonts w:ascii="Arial" w:hAnsi="Arial"/>
      <w:kern w:val="12"/>
      <w:szCs w:val="24"/>
    </w:rPr>
  </w:style>
  <w:style w:type="paragraph" w:customStyle="1" w:styleId="EYBodytextwithparaspace">
    <w:name w:val="EY Body text (with para space)"/>
    <w:basedOn w:val="Normal"/>
    <w:link w:val="EYBodytextwithparaspaceChar"/>
    <w:rsid w:val="00C273DA"/>
    <w:pPr>
      <w:tabs>
        <w:tab w:val="left" w:pos="907"/>
      </w:tabs>
      <w:suppressAutoHyphens/>
      <w:spacing w:after="400" w:line="360" w:lineRule="auto"/>
    </w:pPr>
    <w:rPr>
      <w:rFonts w:eastAsiaTheme="minorHAnsi" w:cstheme="minorBidi"/>
      <w:kern w:val="12"/>
      <w:sz w:val="22"/>
    </w:rPr>
  </w:style>
  <w:style w:type="character" w:styleId="Hyperlink">
    <w:name w:val="Hyperlink"/>
    <w:basedOn w:val="DefaultParagraphFont"/>
    <w:rsid w:val="00C273DA"/>
    <w:rPr>
      <w:color w:val="0000FF"/>
      <w:u w:val="single"/>
    </w:rPr>
  </w:style>
  <w:style w:type="paragraph" w:customStyle="1" w:styleId="eyboldsubjectheading">
    <w:name w:val="eyboldsubjectheading"/>
    <w:basedOn w:val="Normal"/>
    <w:uiPriority w:val="99"/>
    <w:rsid w:val="00C273DA"/>
    <w:pPr>
      <w:spacing w:before="480" w:line="260" w:lineRule="atLeast"/>
    </w:pPr>
    <w:rPr>
      <w:rFonts w:cs="Arial"/>
      <w:b/>
      <w:bCs/>
      <w:sz w:val="26"/>
      <w:szCs w:val="26"/>
    </w:rPr>
  </w:style>
  <w:style w:type="paragraph" w:styleId="ListParagraph">
    <w:name w:val="List Paragraph"/>
    <w:basedOn w:val="Normal"/>
    <w:uiPriority w:val="34"/>
    <w:qFormat/>
    <w:rsid w:val="00C273DA"/>
    <w:pPr>
      <w:ind w:left="720"/>
      <w:contextualSpacing/>
    </w:pPr>
  </w:style>
  <w:style w:type="paragraph" w:styleId="FootnoteText">
    <w:name w:val="footnote text"/>
    <w:basedOn w:val="Normal"/>
    <w:link w:val="FootnoteTextChar"/>
    <w:uiPriority w:val="99"/>
    <w:unhideWhenUsed/>
    <w:rsid w:val="00C273DA"/>
    <w:rPr>
      <w:szCs w:val="20"/>
    </w:rPr>
  </w:style>
  <w:style w:type="character" w:customStyle="1" w:styleId="FootnoteTextChar">
    <w:name w:val="Footnote Text Char"/>
    <w:basedOn w:val="DefaultParagraphFont"/>
    <w:link w:val="FootnoteText"/>
    <w:uiPriority w:val="99"/>
    <w:rsid w:val="00C273DA"/>
    <w:rPr>
      <w:rFonts w:ascii="Arial" w:eastAsia="Times New Roman" w:hAnsi="Arial" w:cs="Times New Roman"/>
      <w:sz w:val="20"/>
      <w:szCs w:val="20"/>
    </w:rPr>
  </w:style>
  <w:style w:type="character" w:styleId="FootnoteReference">
    <w:name w:val="footnote reference"/>
    <w:basedOn w:val="DefaultParagraphFont"/>
    <w:uiPriority w:val="99"/>
    <w:unhideWhenUsed/>
    <w:rsid w:val="00C273DA"/>
    <w:rPr>
      <w:vertAlign w:val="superscript"/>
    </w:rPr>
  </w:style>
  <w:style w:type="character" w:styleId="CommentReference">
    <w:name w:val="annotation reference"/>
    <w:basedOn w:val="DefaultParagraphFont"/>
    <w:uiPriority w:val="99"/>
    <w:semiHidden/>
    <w:unhideWhenUsed/>
    <w:rsid w:val="008A5A0A"/>
    <w:rPr>
      <w:sz w:val="16"/>
      <w:szCs w:val="16"/>
    </w:rPr>
  </w:style>
  <w:style w:type="paragraph" w:styleId="CommentText">
    <w:name w:val="annotation text"/>
    <w:basedOn w:val="Normal"/>
    <w:link w:val="CommentTextChar"/>
    <w:uiPriority w:val="99"/>
    <w:semiHidden/>
    <w:unhideWhenUsed/>
    <w:rsid w:val="008A5A0A"/>
    <w:rPr>
      <w:szCs w:val="20"/>
    </w:rPr>
  </w:style>
  <w:style w:type="character" w:customStyle="1" w:styleId="CommentTextChar">
    <w:name w:val="Comment Text Char"/>
    <w:basedOn w:val="DefaultParagraphFont"/>
    <w:link w:val="CommentText"/>
    <w:uiPriority w:val="99"/>
    <w:semiHidden/>
    <w:rsid w:val="008A5A0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A5A0A"/>
    <w:rPr>
      <w:b/>
      <w:bCs/>
    </w:rPr>
  </w:style>
  <w:style w:type="character" w:customStyle="1" w:styleId="CommentSubjectChar">
    <w:name w:val="Comment Subject Char"/>
    <w:basedOn w:val="CommentTextChar"/>
    <w:link w:val="CommentSubject"/>
    <w:uiPriority w:val="99"/>
    <w:semiHidden/>
    <w:rsid w:val="008A5A0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A5A0A"/>
    <w:rPr>
      <w:rFonts w:ascii="Tahoma" w:hAnsi="Tahoma" w:cs="Tahoma"/>
      <w:sz w:val="16"/>
      <w:szCs w:val="16"/>
    </w:rPr>
  </w:style>
  <w:style w:type="character" w:customStyle="1" w:styleId="BalloonTextChar">
    <w:name w:val="Balloon Text Char"/>
    <w:basedOn w:val="DefaultParagraphFont"/>
    <w:link w:val="BalloonText"/>
    <w:uiPriority w:val="99"/>
    <w:semiHidden/>
    <w:rsid w:val="008A5A0A"/>
    <w:rPr>
      <w:rFonts w:ascii="Tahoma" w:eastAsia="Times New Roman" w:hAnsi="Tahoma" w:cs="Tahoma"/>
      <w:sz w:val="16"/>
      <w:szCs w:val="16"/>
    </w:rPr>
  </w:style>
  <w:style w:type="paragraph" w:styleId="Revision">
    <w:name w:val="Revision"/>
    <w:hidden/>
    <w:uiPriority w:val="99"/>
    <w:semiHidden/>
    <w:rsid w:val="001C76E9"/>
    <w:pPr>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7052BF"/>
    <w:rPr>
      <w:color w:val="800080" w:themeColor="followedHyperlink"/>
      <w:u w:val="single"/>
    </w:rPr>
  </w:style>
  <w:style w:type="character" w:styleId="Emphasis">
    <w:name w:val="Emphasis"/>
    <w:basedOn w:val="DefaultParagraphFont"/>
    <w:uiPriority w:val="20"/>
    <w:qFormat/>
    <w:rsid w:val="00E976A0"/>
    <w:rPr>
      <w:b/>
      <w:bCs/>
      <w:i w:val="0"/>
      <w:iCs w:val="0"/>
    </w:rPr>
  </w:style>
  <w:style w:type="character" w:customStyle="1" w:styleId="st1">
    <w:name w:val="st1"/>
    <w:basedOn w:val="DefaultParagraphFont"/>
    <w:rsid w:val="00E976A0"/>
  </w:style>
  <w:style w:type="table" w:customStyle="1" w:styleId="TableGrid1">
    <w:name w:val="Table Grid1"/>
    <w:basedOn w:val="TableNormal"/>
    <w:next w:val="TableGrid"/>
    <w:rsid w:val="00E51C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eb.Kostarev@ru.e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y.com/GL/en/Industries/Life-Scien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1621</Words>
  <Characters>9244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ralphie.polanco</dc:creator>
  <cp:lastModifiedBy>Tatiana V Garnina</cp:lastModifiedBy>
  <cp:revision>2</cp:revision>
  <cp:lastPrinted>2015-06-06T23:33:00Z</cp:lastPrinted>
  <dcterms:created xsi:type="dcterms:W3CDTF">2015-07-05T21:15:00Z</dcterms:created>
  <dcterms:modified xsi:type="dcterms:W3CDTF">2015-07-05T21:15:00Z</dcterms:modified>
</cp:coreProperties>
</file>